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SOP-04 Admission, Discharge &amp; Procedure Date Validation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p>
      <w:pPr>
        <w:pStyle w:val="Heading2"/>
      </w:pPr>
      <w:r>
        <w:t>Purpose</w:t>
      </w:r>
    </w:p>
    <w:p>
      <w:pPr>
        <w:spacing w:after="100"/>
      </w:pPr>
      <w:r>
        <w:t>Validate basic chronological consistency.</w:t>
      </w:r>
    </w:p>
    <w:p>
      <w:pPr>
        <w:pStyle w:val="Heading2"/>
      </w:pPr>
      <w:r>
        <w:t>Admission/discharge rule</w:t>
      </w:r>
    </w:p>
    <w:p>
      <w:pPr>
        <w:spacing w:after="100"/>
      </w:pPr>
      <w:r>
        <w:t>Discharge date must be the same as or later than the admission date.</w:t>
      </w:r>
    </w:p>
    <w:p>
      <w:pPr>
        <w:pStyle w:val="Heading2"/>
      </w:pPr>
      <w:r>
        <w:t>Procedure date rule</w:t>
      </w:r>
    </w:p>
    <w:p>
      <w:pPr>
        <w:spacing w:after="100"/>
      </w:pPr>
      <w:r>
        <w:t>Any procedure date must fall within the documented admission-to-discharge period unless a supporting note explicitly explains otherwise.</w:t>
      </w:r>
    </w:p>
    <w:p>
      <w:pPr>
        <w:pStyle w:val="Heading2"/>
      </w:pPr>
      <w:r>
        <w:t>Severity</w:t>
      </w:r>
    </w:p>
    <w:p>
      <w:pPr>
        <w:spacing w:after="100"/>
      </w:pPr>
      <w:r>
        <w:t>A discharge date before admission is a high-severity issue and requires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