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SOP-07 Evidence &amp; Auditability Standard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p>
      <w:pPr>
        <w:pStyle w:val="Heading2"/>
      </w:pPr>
      <w:r>
        <w:t>Purpose</w:t>
      </w:r>
    </w:p>
    <w:p>
      <w:pPr>
        <w:spacing w:after="100"/>
      </w:pPr>
      <w:r>
        <w:t>Ensure every AI-generated issue can be traced back to source documents.</w:t>
      </w:r>
    </w:p>
    <w:p>
      <w:pPr>
        <w:pStyle w:val="Heading2"/>
      </w:pPr>
      <w:r>
        <w:t>Evidence requirement</w:t>
      </w:r>
    </w:p>
    <w:p>
      <w:pPr>
        <w:spacing w:after="100"/>
      </w:pPr>
      <w:r>
        <w:t>Every reported issue must identify the source document and the relevant field, section, or quoted value used as evidence.</w:t>
      </w:r>
    </w:p>
    <w:p>
      <w:pPr>
        <w:pStyle w:val="Heading2"/>
      </w:pPr>
      <w:r>
        <w:t>No unsupported claims</w:t>
      </w:r>
    </w:p>
    <w:p>
      <w:pPr>
        <w:spacing w:after="100"/>
      </w:pPr>
      <w:r>
        <w:t>The assistant must distinguish documented facts from hypotheses and must not fabricate missing values.</w:t>
      </w:r>
    </w:p>
    <w:p>
      <w:pPr>
        <w:pStyle w:val="Heading2"/>
      </w:pPr>
      <w:r>
        <w:t>Audit trail</w:t>
      </w:r>
    </w:p>
    <w:p>
      <w:pPr>
        <w:spacing w:after="100"/>
      </w:pPr>
      <w:r>
        <w:t>A production design should preserve case ID, input document references, rule or model version, output, and review outcome for later audit.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