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5237" w:sz="1" w:space="4"/>
        </w:pBdr>
        <w:spacing w:after="240"/>
      </w:pPr>
      <w:r>
        <w:rPr>
          <w:rFonts w:ascii="Arial" w:cs="Arial" w:eastAsia="Arial" w:hAnsi="Arial"/>
          <w:color w:val="005237"/>
          <w:sz w:val="17"/>
          <w:szCs w:val="17"/>
        </w:rPr>
        <w:t xml:space="preserve">Policy</w:t>
      </w:r>
    </w:p>
    <w:p>
      <w:pPr>
        <w:spacing w:after="200"/>
      </w:pPr>
      <w:r>
        <w:rPr>
          <w:rFonts w:ascii="Arial" w:cs="Arial" w:eastAsia="Arial" w:hAnsi="Arial"/>
          <w:color w:val="111111"/>
          <w:sz w:val="60"/>
          <w:szCs w:val="60"/>
        </w:rPr>
        <w:t xml:space="preserve">Digital Sovereignty Is the New Sovereignty: Canada Can Lead the Middle Power Vanguard</w:t>
      </w:r>
    </w:p>
    <w:p>
      <w:pPr>
        <w:spacing w:after="300"/>
      </w:pPr>
      <w:r>
        <w:rPr>
          <w:rFonts w:ascii="Arial" w:cs="Arial" w:eastAsia="Arial" w:hAnsi="Arial"/>
          <w:color w:val="666666"/>
          <w:sz w:val="22"/>
          <w:szCs w:val="22"/>
        </w:rPr>
        <w:t xml:space="preserve">An attractive strategic case is emerging for Canada to architect a coalition of technologically sovereign middle powers. This essay examines the three pillars — sovereign infrastructure, cryptographic transition, and coalition architecture — that define the path forward.</w:t>
      </w:r>
    </w:p>
    <w:p>
      <w:pPr>
        <w:pBdr>
          <w:bottom w:val="single" w:color="111111" w:sz="6" w:space="1"/>
        </w:pBdr>
        <w:spacing w:after="300"/>
      </w:pPr>
    </w:p>
    <w:p>
      <w:pPr>
        <w:spacing w:after="20"/>
      </w:pPr>
      <w:r>
        <w:rPr>
          <w:rFonts w:ascii="Arial" w:cs="Arial" w:eastAsia="Arial" w:hAnsi="Arial"/>
          <w:b/>
          <w:bCs/>
          <w:color w:val="111111"/>
          <w:sz w:val="20"/>
          <w:szCs w:val="20"/>
        </w:rPr>
        <w:t xml:space="preserve">Richard St-Pierre</w:t>
      </w:r>
      <w:r>
        <w:rPr>
          <w:rFonts w:ascii="Arial" w:cs="Arial" w:eastAsia="Arial" w:hAnsi="Arial"/>
          <w:color w:val="999999"/>
          <w:sz w:val="17"/>
          <w:szCs w:val="17"/>
        </w:rPr>
        <w:t xml:space="preserve">  Senior Digital Sovereignty Advisor, Levio</w:t>
      </w:r>
    </w:p>
    <w:p>
      <w:pPr>
        <w:spacing w:after="20"/>
      </w:pPr>
      <w:r>
        <w:rPr>
          <w:rFonts w:ascii="Arial" w:cs="Arial" w:eastAsia="Arial" w:hAnsi="Arial"/>
          <w:b/>
          <w:bCs/>
          <w:color w:val="111111"/>
          <w:sz w:val="20"/>
          <w:szCs w:val="20"/>
        </w:rPr>
        <w:t xml:space="preserve">Stephen Karam</w:t>
      </w:r>
      <w:r>
        <w:rPr>
          <w:rFonts w:ascii="Arial" w:cs="Arial" w:eastAsia="Arial" w:hAnsi="Arial"/>
          <w:color w:val="999999"/>
          <w:sz w:val="17"/>
          <w:szCs w:val="17"/>
        </w:rPr>
        <w:t xml:space="preserve">  Systemscope Ottawa</w:t>
      </w:r>
    </w:p>
    <w:p>
      <w:pPr>
        <w:spacing w:after="100" w:before="60"/>
      </w:pPr>
      <w:r>
        <w:rPr>
          <w:rFonts w:ascii="Arial" w:cs="Arial" w:eastAsia="Arial" w:hAnsi="Arial"/>
          <w:color w:val="999999"/>
          <w:sz w:val="17"/>
          <w:szCs w:val="17"/>
        </w:rPr>
        <w:t xml:space="preserve">v260218</w:t>
      </w:r>
    </w:p>
    <w:p>
      <w:pPr>
        <w:spacing w:before="32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single" w:color="005237" w:sz="4"/>
              <w:bottom w:val="none" w:color="FFFFFF" w:sz="0"/>
              <w:right w:val="none" w:color="FFFFFF" w:sz="0"/>
            </w:tcBorders>
            <w:shd w:fill="F2F8F5" w:val="clear"/>
            <w:tcMar>
              <w:top w:type="dxa" w:w="180"/>
              <w:left w:type="dxa" w:w="320"/>
              <w:bottom w:type="dxa" w:w="180"/>
              <w:right w:type="dxa" w:w="320"/>
            </w:tcMar>
          </w:tcPr>
          <w:p>
            <w:r>
              <w:rPr>
                <w:rFonts w:ascii="Arial" w:cs="Arial" w:eastAsia="Arial" w:hAnsi="Arial"/>
                <w:b/>
                <w:bCs/>
                <w:color w:val="005237"/>
                <w:sz w:val="20"/>
                <w:szCs w:val="20"/>
              </w:rPr>
              <w:t xml:space="preserve">Key finding:  </w:t>
            </w:r>
            <w:r>
              <w:rPr>
                <w:rFonts w:ascii="Arial" w:cs="Arial" w:eastAsia="Arial" w:hAnsi="Arial"/>
                <w:color w:val="333333"/>
                <w:sz w:val="20"/>
                <w:szCs w:val="20"/>
              </w:rPr>
              <w:t xml:space="preserve">Canada possesses the raw ingredients — energy abundance, a skilled workforce, allied relationships, and democratic institutions — to become the architect of a middle-power digital sovereignty coalition.</w:t>
            </w:r>
          </w:p>
        </w:tc>
      </w:tr>
    </w:tbl>
    <w:p>
      <w:pPr>
        <w:spacing w:before="160"/>
      </w:pPr>
    </w:p>
    <w:p>
      <w:pPr>
        <w:pStyle w:val="Heading2"/>
        <w:spacing w:after="180" w:before="520"/>
      </w:pPr>
      <w:r>
        <w:rPr>
          <w:rFonts w:ascii="Arial" w:cs="Arial" w:eastAsia="Arial" w:hAnsi="Arial"/>
          <w:b/>
          <w:bCs/>
          <w:color w:val="111111"/>
          <w:sz w:val="32"/>
          <w:szCs w:val="32"/>
        </w:rPr>
        <w:t xml:space="preserve">The Sovereignty Imperative</w:t>
      </w:r>
    </w:p>
    <w:p>
      <w:pPr>
        <w:spacing w:after="120" w:line="300"/>
      </w:pPr>
      <w:r>
        <w:rPr>
          <w:rFonts w:ascii="Arial" w:cs="Arial" w:eastAsia="Arial" w:hAnsi="Arial"/>
          <w:color w:val="333333"/>
          <w:sz w:val="21"/>
          <w:szCs w:val="21"/>
        </w:rPr>
        <w:t xml:space="preserve">In the twenty-first century, sovereignty is no longer defined solely by borders, armies, or treaties. It is defined by data flows, AI inference capacity, and cryptographic resilience. The nations that control their digital infrastructure will shape the rules of the emerging order. Those that do not will find themselves tenants in someone else’s architecture.</w:t>
      </w:r>
    </w:p>
    <w:p>
      <w:pPr>
        <w:spacing w:after="120" w:line="300"/>
      </w:pPr>
      <w:r>
        <w:rPr>
          <w:rFonts w:ascii="Arial" w:cs="Arial" w:eastAsia="Arial" w:hAnsi="Arial"/>
          <w:color w:val="333333"/>
          <w:sz w:val="21"/>
          <w:szCs w:val="21"/>
        </w:rPr>
        <w:t xml:space="preserve">Canada stands at a crossroads. It possesses the raw ingredients — energy abundance, a skilled workforce, allied relationships, and democratic institutions — to become the architect of a middle-power digital sovereignty coalition. But ingredients alone do not make a strategy.</w:t>
      </w:r>
    </w:p>
    <w:p>
      <w:pPr>
        <w:pStyle w:val="Heading2"/>
        <w:spacing w:after="180" w:before="520"/>
      </w:pPr>
      <w:r>
        <w:rPr>
          <w:rFonts w:ascii="Arial" w:cs="Arial" w:eastAsia="Arial" w:hAnsi="Arial"/>
          <w:b/>
          <w:bCs/>
          <w:color w:val="111111"/>
          <w:sz w:val="32"/>
          <w:szCs w:val="32"/>
        </w:rPr>
        <w:t xml:space="preserve">The Middle Power Opportunity</w:t>
      </w:r>
    </w:p>
    <w:p>
      <w:pPr>
        <w:spacing w:after="120" w:line="300"/>
      </w:pPr>
      <w:r>
        <w:rPr>
          <w:rFonts w:ascii="Arial" w:cs="Arial" w:eastAsia="Arial" w:hAnsi="Arial"/>
          <w:color w:val="333333"/>
          <w:sz w:val="21"/>
          <w:szCs w:val="21"/>
        </w:rPr>
        <w:t xml:space="preserve">The great powers — the United States and China — are building closed technological ecosystems designed to maximize their own leverage. For middle powers like Canada, Australia, the Nordic states, and others, the choice is not which ecosystem to join. It is whether to build an alternative.</w:t>
      </w:r>
    </w:p>
    <w:p>
      <w:pPr>
        <w:pBdr>
          <w:left w:val="single" w:color="005237" w:sz="4" w:space="8"/>
        </w:pBdr>
        <w:spacing w:after="200" w:line="300"/>
        <w:ind w:left="540"/>
      </w:pPr>
      <w:r>
        <w:rPr>
          <w:rFonts w:ascii="Arial" w:cs="Arial" w:eastAsia="Arial" w:hAnsi="Arial"/>
          <w:i/>
          <w:iCs/>
          <w:color w:val="666666"/>
          <w:sz w:val="21"/>
          <w:szCs w:val="21"/>
        </w:rPr>
        <w:t xml:space="preserve">The question is not whether Canada can afford to pursue digital sovereignty. It is whether Canada can afford not to.</w:t>
      </w:r>
    </w:p>
    <w:p>
      <w:pPr>
        <w:spacing w:after="80" w:before="240"/>
      </w:pPr>
      <w:r>
        <w:rPr>
          <w:rFonts w:ascii="Arial" w:cs="Arial" w:eastAsia="Arial" w:hAnsi="Arial"/>
          <w:b/>
          <w:bCs/>
          <w:color w:val="333333"/>
          <w:sz w:val="20"/>
          <w:szCs w:val="20"/>
        </w:rPr>
        <w:t xml:space="preserve">Exhibit 1: </w:t>
      </w:r>
      <w:r>
        <w:rPr>
          <w:rFonts w:ascii="Arial" w:cs="Arial" w:eastAsia="Arial" w:hAnsi="Arial"/>
          <w:i/>
          <w:iCs/>
          <w:color w:val="999999"/>
          <w:sz w:val="17"/>
          <w:szCs w:val="17"/>
        </w:rPr>
        <w:t xml:space="preserve">Comparative sovereign cloud capacity among middle powers, 2025–2030 (projected)</w:t>
      </w:r>
    </w:p>
    <w:p>
      <w:pPr>
        <w:spacing w:after="120" w:line="300"/>
      </w:pPr>
      <w:r>
        <w:rPr>
          <w:rFonts w:ascii="Arial" w:cs="Arial" w:eastAsia="Arial" w:hAnsi="Arial"/>
          <w:color w:val="333333"/>
          <w:sz w:val="21"/>
          <w:szCs w:val="21"/>
        </w:rPr>
        <w:t xml:space="preserve">[Figure placeholder — insert chart or data visualization here]</w:t>
      </w:r>
    </w:p>
    <w:p>
      <w:pPr>
        <w:spacing w:before="160"/>
      </w:pPr>
    </w:p>
    <w:p>
      <w:pPr>
        <w:pStyle w:val="Heading3"/>
        <w:spacing w:after="120" w:before="400"/>
      </w:pPr>
      <w:r>
        <w:rPr>
          <w:rFonts w:ascii="Arial" w:cs="Arial" w:eastAsia="Arial" w:hAnsi="Arial"/>
          <w:color w:val="111111"/>
          <w:sz w:val="24"/>
          <w:szCs w:val="24"/>
        </w:rPr>
        <w:t xml:space="preserve">What Must Be Done</w:t>
      </w:r>
    </w:p>
    <w:p>
      <w:pPr>
        <w:spacing w:after="120" w:line="300"/>
      </w:pPr>
      <w:r>
        <w:rPr>
          <w:rFonts w:ascii="Arial" w:cs="Arial" w:eastAsia="Arial" w:hAnsi="Arial"/>
          <w:color w:val="333333"/>
          <w:sz w:val="21"/>
          <w:szCs w:val="21"/>
        </w:rPr>
        <w:t xml:space="preserve">Three pillars define the path forward.</w:t>
      </w:r>
    </w:p>
    <w:p>
      <w:pPr>
        <w:pStyle w:val="ListParagraph"/>
        <w:numPr>
          <w:ilvl w:val="0"/>
          <w:numId w:val="2"/>
        </w:numPr>
        <w:spacing w:after="80" w:line="300"/>
      </w:pPr>
      <w:r>
        <w:rPr>
          <w:rFonts w:ascii="Arial" w:cs="Arial" w:eastAsia="Arial" w:hAnsi="Arial"/>
          <w:b/>
          <w:bCs/>
          <w:color w:val="333333"/>
          <w:sz w:val="21"/>
          <w:szCs w:val="21"/>
        </w:rPr>
        <w:t xml:space="preserve">Sovereign infrastructure. </w:t>
      </w:r>
      <w:r>
        <w:rPr>
          <w:rFonts w:ascii="Arial" w:cs="Arial" w:eastAsia="Arial" w:hAnsi="Arial"/>
          <w:color w:val="333333"/>
          <w:sz w:val="21"/>
          <w:szCs w:val="21"/>
        </w:rPr>
        <w:t xml:space="preserve">Canada must invest in domestic cloud capacity — not as a vanity project, but as critical national infrastructure.</w:t>
      </w:r>
    </w:p>
    <w:p>
      <w:pPr>
        <w:pStyle w:val="ListParagraph"/>
        <w:numPr>
          <w:ilvl w:val="0"/>
          <w:numId w:val="2"/>
        </w:numPr>
        <w:spacing w:after="80" w:line="300"/>
      </w:pPr>
      <w:r>
        <w:rPr>
          <w:rFonts w:ascii="Arial" w:cs="Arial" w:eastAsia="Arial" w:hAnsi="Arial"/>
          <w:b/>
          <w:bCs/>
          <w:color w:val="333333"/>
          <w:sz w:val="21"/>
          <w:szCs w:val="21"/>
        </w:rPr>
        <w:t xml:space="preserve">Cryptographic transition. </w:t>
      </w:r>
      <w:r>
        <w:rPr>
          <w:rFonts w:ascii="Arial" w:cs="Arial" w:eastAsia="Arial" w:hAnsi="Arial"/>
          <w:color w:val="333333"/>
          <w:sz w:val="21"/>
          <w:szCs w:val="21"/>
        </w:rPr>
        <w:t xml:space="preserve">The transition to post-quantum cryptography must begin immediately.</w:t>
      </w:r>
    </w:p>
    <w:p>
      <w:pPr>
        <w:pStyle w:val="ListParagraph"/>
        <w:numPr>
          <w:ilvl w:val="0"/>
          <w:numId w:val="2"/>
        </w:numPr>
        <w:spacing w:after="80" w:line="300"/>
      </w:pPr>
      <w:r>
        <w:rPr>
          <w:rFonts w:ascii="Arial" w:cs="Arial" w:eastAsia="Arial" w:hAnsi="Arial"/>
          <w:b/>
          <w:bCs/>
          <w:color w:val="333333"/>
          <w:sz w:val="21"/>
          <w:szCs w:val="21"/>
        </w:rPr>
        <w:t xml:space="preserve">Coalition architecture. </w:t>
      </w:r>
      <w:r>
        <w:rPr>
          <w:rFonts w:ascii="Arial" w:cs="Arial" w:eastAsia="Arial" w:hAnsi="Arial"/>
          <w:color w:val="333333"/>
          <w:sz w:val="21"/>
          <w:szCs w:val="21"/>
        </w:rPr>
        <w:t xml:space="preserve">Canada must lead the formation of a sovereignty coalition with like-minded nations.</w:t>
      </w:r>
    </w:p>
    <w:p>
      <w:pPr>
        <w:spacing w:before="1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single" w:color="005237" w:sz="4"/>
              <w:bottom w:val="none" w:color="FFFFFF" w:sz="0"/>
              <w:right w:val="none" w:color="FFFFFF" w:sz="0"/>
            </w:tcBorders>
            <w:shd w:fill="F2F8F5" w:val="clear"/>
            <w:tcMar>
              <w:top w:type="dxa" w:w="180"/>
              <w:left w:type="dxa" w:w="320"/>
              <w:bottom w:type="dxa" w:w="180"/>
              <w:right w:type="dxa" w:w="320"/>
            </w:tcMar>
          </w:tcPr>
          <w:p>
            <w:r>
              <w:rPr>
                <w:rFonts w:ascii="Arial" w:cs="Arial" w:eastAsia="Arial" w:hAnsi="Arial"/>
                <w:b/>
                <w:bCs/>
                <w:color w:val="005237"/>
                <w:sz w:val="20"/>
                <w:szCs w:val="20"/>
              </w:rPr>
              <w:t xml:space="preserve">Key finding:  </w:t>
            </w:r>
            <w:r>
              <w:rPr>
                <w:rFonts w:ascii="Arial" w:cs="Arial" w:eastAsia="Arial" w:hAnsi="Arial"/>
                <w:color w:val="333333"/>
                <w:sz w:val="20"/>
                <w:szCs w:val="20"/>
              </w:rPr>
              <w:t xml:space="preserve">Approximately 60% of the data required to answer ministerial questions originates from external sources, reframing sovereign cloud as a bridge rather than a fortress.</w:t>
            </w:r>
          </w:p>
        </w:tc>
      </w:tr>
    </w:tbl>
    <w:p>
      <w:pPr>
        <w:spacing w:before="160"/>
      </w:pPr>
    </w:p>
    <w:p>
      <w:pPr>
        <w:pStyle w:val="Heading2"/>
        <w:spacing w:after="180" w:before="520"/>
      </w:pPr>
      <w:r>
        <w:rPr>
          <w:rFonts w:ascii="Arial" w:cs="Arial" w:eastAsia="Arial" w:hAnsi="Arial"/>
          <w:b/>
          <w:bCs/>
          <w:color w:val="111111"/>
          <w:sz w:val="32"/>
          <w:szCs w:val="32"/>
        </w:rPr>
        <w:t xml:space="preserve">Conclusion</w:t>
      </w:r>
    </w:p>
    <w:p>
      <w:pPr>
        <w:spacing w:after="120" w:line="300"/>
      </w:pPr>
      <w:r>
        <w:rPr>
          <w:rFonts w:ascii="Arial" w:cs="Arial" w:eastAsia="Arial" w:hAnsi="Arial"/>
          <w:color w:val="333333"/>
          <w:sz w:val="21"/>
          <w:szCs w:val="21"/>
        </w:rPr>
        <w:t xml:space="preserve">The window for action is narrow. Every month of inaction deepens dependency on foreign infrastructure and increases exposure to strategic risk. Canada has the talent, the energy, and the alliances. What it needs now is the will.</w:t>
      </w:r>
    </w:p>
    <w:p>
      <w:pPr>
        <w:pStyle w:val="Heading2"/>
        <w:pBdr>
          <w:top w:val="single" w:color="CCCCCC" w:sz="1" w:space="8"/>
        </w:pBdr>
        <w:spacing w:after="180" w:before="600"/>
      </w:pPr>
      <w:r>
        <w:rPr>
          <w:rFonts w:ascii="Arial" w:cs="Arial" w:eastAsia="Arial" w:hAnsi="Arial"/>
          <w:b/>
          <w:bCs/>
          <w:color w:val="111111"/>
          <w:sz w:val="32"/>
          <w:szCs w:val="32"/>
        </w:rPr>
        <w:t xml:space="preserve">Notes</w:t>
      </w:r>
    </w:p>
    <w:p>
      <w:pPr>
        <w:spacing w:after="60"/>
        <w:ind w:left="360" w:hanging="360"/>
      </w:pPr>
      <w:r>
        <w:rPr>
          <w:rFonts w:ascii="Arial" w:cs="Arial" w:eastAsia="Arial" w:hAnsi="Arial"/>
          <w:color w:val="999999"/>
          <w:sz w:val="16"/>
          <w:szCs w:val="16"/>
          <w:vertAlign w:val="superscript"/>
        </w:rPr>
        <w:t xml:space="preserve">1  </w:t>
      </w:r>
      <w:r>
        <w:rPr>
          <w:rFonts w:ascii="Arial" w:cs="Arial" w:eastAsia="Arial" w:hAnsi="Arial"/>
          <w:color w:val="999999"/>
          <w:sz w:val="16"/>
          <w:szCs w:val="16"/>
        </w:rPr>
        <w:t xml:space="preserve">International Energy Agency, “Global digital infrastructure energy consumption,” IEA Report, 2025.</w:t>
      </w:r>
    </w:p>
    <w:p>
      <w:pPr>
        <w:spacing w:after="60"/>
        <w:ind w:left="360" w:hanging="360"/>
      </w:pPr>
      <w:r>
        <w:rPr>
          <w:rFonts w:ascii="Arial" w:cs="Arial" w:eastAsia="Arial" w:hAnsi="Arial"/>
          <w:color w:val="999999"/>
          <w:sz w:val="16"/>
          <w:szCs w:val="16"/>
          <w:vertAlign w:val="superscript"/>
        </w:rPr>
        <w:t xml:space="preserve">2  </w:t>
      </w:r>
      <w:r>
        <w:rPr>
          <w:rFonts w:ascii="Arial" w:cs="Arial" w:eastAsia="Arial" w:hAnsi="Arial"/>
          <w:color w:val="999999"/>
          <w:sz w:val="16"/>
          <w:szCs w:val="16"/>
        </w:rPr>
        <w:t xml:space="preserve">Richard St-Pierre, “The Sovereign Bridge,” Polynem Working Paper, November 2025.</w:t>
      </w:r>
    </w:p>
    <w:p>
      <w:pPr>
        <w:spacing w:after="60"/>
        <w:ind w:left="360" w:hanging="360"/>
      </w:pPr>
      <w:r>
        <w:rPr>
          <w:rFonts w:ascii="Arial" w:cs="Arial" w:eastAsia="Arial" w:hAnsi="Arial"/>
          <w:color w:val="999999"/>
          <w:sz w:val="16"/>
          <w:szCs w:val="16"/>
          <w:vertAlign w:val="superscript"/>
        </w:rPr>
        <w:t xml:space="preserve">3  </w:t>
      </w:r>
      <w:r>
        <w:rPr>
          <w:rFonts w:ascii="Arial" w:cs="Arial" w:eastAsia="Arial" w:hAnsi="Arial"/>
          <w:color w:val="999999"/>
          <w:sz w:val="16"/>
          <w:szCs w:val="16"/>
        </w:rPr>
        <w:t xml:space="preserve">Government of Canada, “Post-Quantum Cryptography Roadmap,” CSE, 2025.</w:t>
      </w:r>
    </w:p>
    <w:sectPr>
      <w:headerReference w:type="default" r:id="rId7"/>
      <w:headerReference w:type="first" r:id="rId8"/>
      <w:footerReference w:type="default" r:id="rId9"/>
      <w:pgSz w:w="12240" w:h="15840" w:orient="portrait"/>
      <w:pgMar w:top="2520" w:right="1440" w:bottom="1440" w:left="36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8"/>
      </w:pBdr>
    </w:pPr>
    <w:r>
      <w:rPr>
        <w:rFonts w:ascii="Arial" w:cs="Arial" w:eastAsia="Arial" w:hAnsi="Arial"/>
        <w:color w:val="999999"/>
        <w:sz w:val="14"/>
        <w:szCs w:val="14"/>
      </w:rPr>
      <w:t xml:space="preserve">© 2026 Richard St-Pierre</w:t>
    </w:r>
    <w:r>
      <w:rPr>
        <w:rFonts w:ascii="Arial" w:cs="Arial" w:eastAsia="Arial" w:hAnsi="Arial"/>
        <w:color w:val="999999"/>
        <w:sz w:val="14"/>
        <w:szCs w:val="14"/>
      </w:rPr>
      <w:ptab w:alignment="center" w:relativeTo="margin" w:leader="none"/>
      <w:t xml:space="preserve">me@richardstpierre.com</w:t>
    </w:r>
    <w:r>
      <w:rPr>
        <w:rFonts w:ascii="Arial" w:cs="Arial" w:eastAsia="Arial" w:hAnsi="Arial"/>
        <w:color w:val="999999"/>
        <w:sz w:val="14"/>
        <w:szCs w:val="14"/>
      </w:rPr>
      <w:ptab w:alignment="right" w:relativeTo="margin" w:leader="none"/>
    </w:r>
    <w:r>
      <w:rPr>
        <w:rFonts w:ascii="Arial" w:cs="Arial" w:eastAsia="Arial" w:hAnsi="Arial"/>
        <w:color w:val="999999"/>
        <w:sz w:val="14"/>
        <w:szCs w:val="14"/>
      </w:rPr>
      <w:fldChar w:fldCharType="begin"/>
      <w:instrText xml:space="preserve">PAGE</w:instrText>
      <w:fldChar w:fldCharType="separate"/>
      <w:fldChar w:fldCharType="end"/>
    </w:r>
    <w:r>
      <w:rPr>
        <w:rFonts w:ascii="Arial" w:cs="Arial" w:eastAsia="Arial" w:hAnsi="Arial"/>
        <w:color w:val="999999"/>
        <w:sz w:val="14"/>
        <w:szCs w:val="14"/>
      </w:rPr>
      <w:t xml:space="preserve"> / </w:t>
    </w:r>
    <w:r>
      <w:rPr>
        <w:rFonts w:ascii="Arial" w:cs="Arial" w:eastAsia="Arial" w:hAnsi="Arial"/>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8"/>
      </w:pBdr>
    </w:pPr>
    <w:r>
      <w:rPr>
        <w:rFonts w:ascii="Arial" w:cs="Arial" w:eastAsia="Arial" w:hAnsi="Arial"/>
        <w:color w:val="999999"/>
        <w:sz w:val="15"/>
        <w:szCs w:val="15"/>
      </w:rPr>
      <w:t xml:space="preserve">Digital Sovereignty Is the New Sovereignty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520"/>
      <w:outlineLvl w:val="1"/>
    </w:pPr>
    <w:rPr>
      <w:rFonts w:ascii="Arial" w:cs="Arial" w:eastAsia="Arial" w:hAnsi="Arial"/>
      <w:b/>
      <w:bCs/>
      <w:color w:val="111111"/>
      <w:sz w:val="32"/>
      <w:szCs w:val="32"/>
    </w:rPr>
  </w:style>
  <w:style w:type="paragraph" w:styleId="Heading3">
    <w:name w:val="Heading 3"/>
    <w:basedOn w:val="Normal"/>
    <w:next w:val="Normal"/>
    <w:qFormat/>
    <w:pPr>
      <w:spacing w:after="120" w:before="400"/>
      <w:outlineLvl w:val="2"/>
    </w:pPr>
    <w:rPr>
      <w:rFonts w:ascii="Arial" w:cs="Arial" w:eastAsia="Arial" w:hAnsi="Arial"/>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2026-03-19T00:06:52.868Z</dcterms:created>
  <dcterms:modified xsi:type="dcterms:W3CDTF">2026-03-19T00:06:52.876Z</dcterms:modified>
</cp:coreProperties>
</file>

<file path=docProps/custom.xml><?xml version="1.0" encoding="utf-8"?>
<Properties xmlns="http://schemas.openxmlformats.org/officeDocument/2006/custom-properties" xmlns:vt="http://schemas.openxmlformats.org/officeDocument/2006/docPropsVTypes"/>
</file>