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ED1104">
      <w:pPr>
        <w:spacing w:line="360" w:lineRule="auto"/>
        <w:jc w:val="center"/>
        <w:rPr>
          <w:rFonts w:hint="eastAsia" w:ascii="宋体" w:hAnsi="宋体" w:eastAsia="宋体"/>
          <w:b/>
          <w:bCs/>
          <w:sz w:val="30"/>
          <w:szCs w:val="30"/>
          <w:lang w:eastAsia="zh-CN"/>
        </w:rPr>
      </w:pPr>
      <w:bookmarkStart w:id="0" w:name="_GoBack"/>
      <w:bookmarkEnd w:id="0"/>
      <w:r>
        <w:rPr>
          <w:rFonts w:hint="eastAsia" w:ascii="Times New Roman" w:hAnsi="宋体" w:eastAsia="微软雅黑" w:cstheme="minorBidi"/>
          <w:b/>
          <w:bCs/>
          <w:kern w:val="2"/>
          <w:sz w:val="30"/>
          <w:szCs w:val="30"/>
          <w:lang w:val="en-US" w:eastAsia="zh-CN" w:bidi="ar-SA"/>
        </w:rPr>
        <w:t>technical papers</w:t>
      </w:r>
    </w:p>
    <w:p w14:paraId="26A57ADD">
      <w:pPr>
        <w:spacing w:line="360" w:lineRule="auto"/>
        <w:jc w:val="center"/>
        <w:rPr>
          <w:rFonts w:ascii="Times New Roman" w:hAnsi="Times New Roman" w:eastAsia="宋体" w:cs="Times New Roman"/>
          <w:b/>
          <w:bCs/>
          <w:sz w:val="30"/>
          <w:szCs w:val="30"/>
        </w:rPr>
      </w:pPr>
    </w:p>
    <w:p w14:paraId="646E9CCE">
      <w:pPr>
        <w:spacing w:line="360" w:lineRule="auto"/>
        <w:rPr>
          <w:rFonts w:hint="eastAsia" w:ascii="Times New Roman" w:hAnsi="Times New Roman" w:eastAsia="宋体" w:cs="Times New Roman"/>
          <w:b/>
          <w:bCs/>
          <w:sz w:val="24"/>
          <w:szCs w:val="24"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4"/>
          <w:szCs w:val="24"/>
          <w:lang w:val="en-US" w:eastAsia="zh-CN" w:bidi="ar-SA"/>
        </w:rPr>
        <w:t>development process</w:t>
      </w:r>
    </w:p>
    <w:p w14:paraId="0946F8D0"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4"/>
          <w:szCs w:val="24"/>
          <w:lang w:val="en-US" w:eastAsia="zh-CN" w:bidi="ar-SA"/>
        </w:rPr>
        <w:tab/>
        <w:t>No pseudo-labels were used, only labeled data was used for supervised training. Spacing and crop size referred to the preprocessing parameters in nnUnet[1].</w:t>
      </w:r>
    </w:p>
    <w:p w14:paraId="3111A184">
      <w:pPr>
        <w:spacing w:line="360" w:lineRule="auto"/>
        <w:rPr>
          <w:rFonts w:hint="eastAsia" w:ascii="Times New Roman" w:hAnsi="Times New Roman" w:eastAsia="宋体" w:cs="Times New Roman"/>
          <w:b/>
          <w:bCs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1"/>
          <w:szCs w:val="22"/>
          <w:lang w:val="en-US" w:eastAsia="zh-CN" w:bidi="ar-SA"/>
        </w:rPr>
        <w:t>Training tips</w:t>
      </w:r>
    </w:p>
    <w:p w14:paraId="0B43F00B">
      <w:pPr>
        <w:spacing w:line="360" w:lineRule="auto"/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Preprocessing part: each data spacing is (0.3,0.3,0.3), the original data dimension is (B,1,H,W,C), Crop is (112,160,128), and it is normalized according to channel.</w:t>
      </w:r>
    </w:p>
    <w:p w14:paraId="5A85A284">
      <w:pPr>
        <w:spacing w:line="360" w:lineRule="auto"/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Data enhancement: flip, elastic transformation (Elastic), Gaussian smoothing, Gaussian noise, intensity transformation, Mixup+CutMix</w:t>
      </w:r>
    </w:p>
    <w:p w14:paraId="5FEBFB16">
      <w:pPr>
        <w:spacing w:line="360" w:lineRule="auto"/>
        <w:ind w:left="420" w:leftChars="200"/>
        <w:rPr>
          <w:rFonts w:hint="eastAsia" w:ascii="Times New Roman" w:hAnsi="Times New Roman" w:eastAsia="宋体" w:cs="Times New Roman"/>
          <w:b/>
          <w:bCs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1"/>
          <w:szCs w:val="22"/>
          <w:lang w:val="en-US" w:eastAsia="zh-CN" w:bidi="ar-SA"/>
        </w:rPr>
        <w:t>Model section:</w:t>
      </w:r>
    </w:p>
    <w:p w14:paraId="7E1FC4B8">
      <w:pPr>
        <w:spacing w:line="360" w:lineRule="auto"/>
        <w:ind w:left="420" w:leftChars="200" w:firstLine="42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DynUnet</w:t>
      </w:r>
    </w:p>
    <w:p w14:paraId="31A3B8C3">
      <w:pPr>
        <w:spacing w:line="360" w:lineRule="auto"/>
        <w:ind w:left="420" w:leftChars="200" w:firstLine="420"/>
        <w:jc w:val="center"/>
        <w:rPr>
          <w:rFonts w:ascii="Times New Roman" w:hAnsi="Times New Roman" w:eastAsia="宋体" w:cs="Times New Roman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drawing>
          <wp:inline distT="0" distB="0" distL="0" distR="0">
            <wp:extent cx="5267960" cy="1890395"/>
            <wp:effectExtent l="0" t="0" r="8890" b="0"/>
            <wp:docPr id="996447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7099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5317">
      <w:pPr>
        <w:spacing w:line="360" w:lineRule="auto"/>
        <w:ind w:left="420" w:leftChars="200"/>
        <w:rPr>
          <w:rFonts w:hint="eastAsia" w:ascii="Times New Roman" w:hAnsi="Times New Roman" w:eastAsia="宋体" w:cs="Times New Roman"/>
          <w:b/>
          <w:bCs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1"/>
          <w:szCs w:val="22"/>
          <w:lang w:val="en-US" w:eastAsia="zh-CN" w:bidi="ar-SA"/>
        </w:rPr>
        <w:t>Training section:</w:t>
      </w:r>
    </w:p>
    <w:p w14:paraId="745AD66C">
      <w:pPr>
        <w:spacing w:line="360" w:lineRule="auto"/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ab/>
        <w:t>The loss function is FocalLoss+DiceLoss, the optimizer is AdamW, the learning rate lr=5e-4, the learning rate is adjusted by cosine annealing, and the epoch is 1000</w:t>
      </w:r>
    </w:p>
    <w:p w14:paraId="4DB803F5">
      <w:pPr>
        <w:spacing w:line="360" w:lineRule="auto"/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TTA: The strategy is horizontal flip, vertical flip.</w:t>
      </w:r>
    </w:p>
    <w:p w14:paraId="682DCDDE">
      <w:pPr>
        <w:spacing w:line="360" w:lineRule="auto"/>
        <w:rPr>
          <w:rFonts w:ascii="Times New Roman" w:hAnsi="Times New Roman" w:eastAsia="宋体" w:cs="Times New Roman"/>
        </w:rPr>
      </w:pPr>
    </w:p>
    <w:p w14:paraId="67F34388">
      <w:pPr>
        <w:spacing w:line="360" w:lineRule="auto"/>
        <w:rPr>
          <w:rFonts w:hint="eastAsia" w:ascii="Times New Roman" w:hAnsi="Times New Roman" w:eastAsia="宋体" w:cs="Times New Roman"/>
          <w:b/>
          <w:bCs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1"/>
          <w:szCs w:val="22"/>
          <w:lang w:val="en-US" w:eastAsia="zh-CN" w:bidi="ar-SA"/>
        </w:rPr>
        <w:t>Innovative ideas</w:t>
      </w:r>
    </w:p>
    <w:p w14:paraId="5AD83D13">
      <w:pPr>
        <w:keepNext/>
        <w:spacing w:line="360" w:lineRule="auto"/>
        <w:jc w:val="center"/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2346960" cy="1613535"/>
            <wp:effectExtent l="0" t="0" r="0" b="5715"/>
            <wp:docPr id="932391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198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663" cy="16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F781">
      <w:pPr>
        <w:pStyle w:val="2"/>
        <w:jc w:val="center"/>
        <w:rPr>
          <w:rFonts w:hint="eastAsia" w:ascii="宋体" w:hAnsi="宋体" w:eastAsia="宋体" w:cs="Times New Roman"/>
          <w:lang w:eastAsia="zh-CN"/>
        </w:rPr>
      </w:pPr>
      <w:r>
        <w:rPr>
          <w:rFonts w:hint="eastAsia" w:ascii="Times New Roman" w:hAnsi="宋体" w:eastAsia="微软雅黑" w:cstheme="majorBidi"/>
          <w:kern w:val="2"/>
          <w:sz w:val="20"/>
          <w:szCs w:val="20"/>
          <w:lang w:val="en-US" w:eastAsia="zh-CN" w:bidi="ar-SA"/>
        </w:rPr>
        <w:t>Figure 1 Proportions of voxels in foreground and background</w:t>
      </w:r>
    </w:p>
    <w:p w14:paraId="3F6F857E">
      <w:pPr>
        <w:spacing w:line="360" w:lineRule="auto"/>
        <w:ind w:firstLine="42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1. Due to the imbalance between foreground and background, FocalLoss is used to better learn foreground information.</w:t>
      </w:r>
    </w:p>
    <w:p w14:paraId="478CF2E2">
      <w:pPr>
        <w:spacing w:line="360" w:lineRule="auto"/>
        <w:ind w:firstLine="42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2. Use a larger Unet with more subsampling and use deep supervision.</w:t>
      </w:r>
    </w:p>
    <w:p w14:paraId="0F3FC8E6">
      <w:pPr>
        <w:spacing w:line="360" w:lineRule="auto"/>
        <w:ind w:left="42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3. The appropriate Spacing can greatly improve the performance of the model. After adding Spacing, the score in the test set is 0.7437</w:t>
      </w:r>
    </w:p>
    <w:p w14:paraId="6C1B5D64">
      <w:pPr>
        <w:spacing w:line="360" w:lineRule="auto"/>
        <w:ind w:left="420" w:firstLine="42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It goes up to 0.8075</w:t>
      </w:r>
    </w:p>
    <w:p w14:paraId="21CD6777">
      <w:pPr>
        <w:spacing w:line="360" w:lineRule="auto"/>
        <w:ind w:left="42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4. Mixup and CutMix are also important factors to improve model performance.</w:t>
      </w:r>
    </w:p>
    <w:p w14:paraId="6554A31E">
      <w:pPr>
        <w:spacing w:line="360" w:lineRule="auto"/>
        <w:rPr>
          <w:rFonts w:ascii="Times New Roman" w:hAnsi="Times New Roman" w:eastAsia="宋体" w:cs="Times New Roman"/>
        </w:rPr>
      </w:pPr>
    </w:p>
    <w:p w14:paraId="2E0EA34A">
      <w:pPr>
        <w:spacing w:line="360" w:lineRule="auto"/>
        <w:rPr>
          <w:rFonts w:hint="eastAsia" w:ascii="Times New Roman" w:hAnsi="Times New Roman" w:eastAsia="宋体" w:cs="Times New Roman"/>
          <w:b/>
          <w:bCs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1"/>
          <w:szCs w:val="22"/>
          <w:lang w:val="en-US" w:eastAsia="zh-CN" w:bidi="ar-SA"/>
        </w:rPr>
        <w:t>Split result display:</w:t>
      </w:r>
    </w:p>
    <w:p w14:paraId="50C774FD">
      <w:pPr>
        <w:spacing w:line="36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test set:</w:t>
      </w:r>
    </w:p>
    <w:p w14:paraId="7F888F50">
      <w:pPr>
        <w:spacing w:line="360" w:lineRule="auto"/>
        <w:rPr>
          <w:rFonts w:ascii="Times New Roman" w:hAnsi="Times New Roman" w:eastAsia="宋体" w:cs="Times New Roman"/>
        </w:rPr>
      </w:pPr>
    </w:p>
    <w:p w14:paraId="37FD16D5">
      <w:pPr>
        <w:spacing w:line="360" w:lineRule="auto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5267960" cy="3220720"/>
            <wp:effectExtent l="0" t="0" r="8890" b="0"/>
            <wp:docPr id="201232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23033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0530">
      <w:pPr>
        <w:spacing w:line="360" w:lineRule="auto"/>
        <w:rPr>
          <w:rFonts w:hint="eastAsia" w:ascii="Times New Roman" w:hAnsi="Times New Roman" w:eastAsia="宋体" w:cs="Times New Roman"/>
          <w:b/>
          <w:bCs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1"/>
          <w:szCs w:val="22"/>
          <w:lang w:val="en-US" w:eastAsia="zh-CN" w:bidi="ar-SA"/>
        </w:rPr>
        <w:t>Corresponding evaluation indicators:</w:t>
      </w:r>
    </w:p>
    <w:p w14:paraId="427A0175">
      <w:pPr>
        <w:spacing w:line="36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Score：0.8075，dice：0.8123，iou：0.8431，hausdorff_distance：0.2344</w:t>
      </w:r>
    </w:p>
    <w:p w14:paraId="296CE560">
      <w:pPr>
        <w:spacing w:line="360" w:lineRule="auto"/>
        <w:rPr>
          <w:rFonts w:hint="eastAsia" w:ascii="Times New Roman" w:hAnsi="Times New Roman" w:eastAsia="宋体" w:cs="Times New Roman"/>
        </w:rPr>
      </w:pPr>
    </w:p>
    <w:p w14:paraId="7C1A7A6C">
      <w:pPr>
        <w:spacing w:line="36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validation set:</w:t>
      </w:r>
    </w:p>
    <w:p w14:paraId="321D1973">
      <w:pPr>
        <w:spacing w:line="360" w:lineRule="auto"/>
        <w:jc w:val="center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3843655" cy="3336290"/>
            <wp:effectExtent l="0" t="0" r="4445" b="0"/>
            <wp:docPr id="1215900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0080" name="图片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993" cy="333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1A37">
      <w:pPr>
        <w:spacing w:line="360" w:lineRule="auto"/>
        <w:rPr>
          <w:rFonts w:ascii="Times New Roman" w:hAnsi="Times New Roman" w:eastAsia="宋体" w:cs="Times New Roman"/>
        </w:rPr>
      </w:pPr>
    </w:p>
    <w:p w14:paraId="16557F9D">
      <w:pPr>
        <w:spacing w:line="360" w:lineRule="auto"/>
        <w:rPr>
          <w:rFonts w:hint="eastAsia" w:ascii="Times New Roman" w:hAnsi="Times New Roman" w:eastAsia="宋体" w:cs="Times New Roman"/>
          <w:b/>
          <w:bCs/>
          <w:lang w:eastAsia="zh-CN"/>
        </w:rPr>
      </w:pPr>
      <w:r>
        <w:rPr>
          <w:rFonts w:hint="eastAsia" w:ascii="Times New Roman" w:hAnsi="Times New Roman" w:eastAsia="微软雅黑" w:cs="Times New Roman"/>
          <w:b/>
          <w:bCs/>
          <w:kern w:val="2"/>
          <w:sz w:val="21"/>
          <w:szCs w:val="22"/>
          <w:lang w:val="en-US" w:eastAsia="zh-CN" w:bidi="ar-SA"/>
        </w:rPr>
        <w:t>reference documentation:</w:t>
      </w:r>
    </w:p>
    <w:p w14:paraId="5889C09F">
      <w:pPr>
        <w:spacing w:line="360" w:lineRule="auto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微软雅黑" w:cs="Times New Roman"/>
          <w:kern w:val="2"/>
          <w:sz w:val="21"/>
          <w:szCs w:val="22"/>
          <w:lang w:val="en-US" w:eastAsia="zh-CN" w:bidi="ar-SA"/>
        </w:rPr>
        <w:t>[1] Isensee, F., Jaeger, P. F., Kohl, S. A., Petersen, J., &amp; Maier-Hein, K. H. (2021). nnU-Net: a self-configuring method for deep learning-based biomedical image segmentation. Nature methods, 18(2), 203-211.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doNotDisplayPageBoundaries w:val="1"/>
  <w:bordersDoNotSurroundHeader w:val="1"/>
  <w:bordersDoNotSurroundFooter w:val="1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3A3"/>
    <w:rsid w:val="000052B2"/>
    <w:rsid w:val="0004534A"/>
    <w:rsid w:val="00083DE6"/>
    <w:rsid w:val="000F7C3B"/>
    <w:rsid w:val="001331EA"/>
    <w:rsid w:val="001C5270"/>
    <w:rsid w:val="001E2063"/>
    <w:rsid w:val="00203F51"/>
    <w:rsid w:val="0025306D"/>
    <w:rsid w:val="003E09F8"/>
    <w:rsid w:val="00524461"/>
    <w:rsid w:val="0059025D"/>
    <w:rsid w:val="005B358B"/>
    <w:rsid w:val="0067408A"/>
    <w:rsid w:val="00756453"/>
    <w:rsid w:val="00794546"/>
    <w:rsid w:val="008263A3"/>
    <w:rsid w:val="00842BA5"/>
    <w:rsid w:val="0085479A"/>
    <w:rsid w:val="008F38FB"/>
    <w:rsid w:val="00917CF9"/>
    <w:rsid w:val="009E1C64"/>
    <w:rsid w:val="00A321C2"/>
    <w:rsid w:val="00A518F6"/>
    <w:rsid w:val="00A90556"/>
    <w:rsid w:val="00B47CFE"/>
    <w:rsid w:val="00B6493F"/>
    <w:rsid w:val="00B81006"/>
    <w:rsid w:val="00B94A6B"/>
    <w:rsid w:val="00C671DE"/>
    <w:rsid w:val="00C96A85"/>
    <w:rsid w:val="00CC309A"/>
    <w:rsid w:val="00D65542"/>
    <w:rsid w:val="00D84771"/>
    <w:rsid w:val="00DC7CCA"/>
    <w:rsid w:val="00DE45ED"/>
    <w:rsid w:val="00E37240"/>
    <w:rsid w:val="00F26234"/>
    <w:rsid w:val="00F77A6F"/>
    <w:rsid w:val="0DC9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123</Words>
  <Characters>704</Characters>
  <Lines>5</Lines>
  <Paragraphs>1</Paragraphs>
  <TotalTime>1316</TotalTime>
  <ScaleCrop>false</ScaleCrop>
  <LinksUpToDate>false</LinksUpToDate>
  <CharactersWithSpaces>826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2023-09-16T03:48:00Z</dcterms:created>
  <dc:creator>周豪 林</dc:creator>
  <cp:lastModifiedBy>罗倩</cp:lastModifiedBy>
  <dcterms:modified xsi:type="dcterms:W3CDTF">2025-05-26T03:40:51Z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TemplateDocerSaveRecord">
    <vt:lpwstr>eyJoZGlkIjoiYTkwY2FhMDNjYjQyNjU0ZDg4N2M5NzlhMGVjMDNhNzMiLCJ1c2VySWQiOiIxNjc2NjgyNjIxIn0=</vt:lpwstr>
  </property>
  <property fmtid="{D5CDD505-2E9C-101B-9397-08002B2CF9AE}" pid="4" name="KSOProductBuildVer">
    <vt:lpwstr>2052-12.1.0.21171</vt:lpwstr>
  </property>
  <property fmtid="{D5CDD505-2E9C-101B-9397-08002B2CF9AE}" pid="5" name="ICV">
    <vt:lpwstr>9C168D463C49443F9D4BE85C83F6B7EC_12</vt:lpwstr>
  </property>
</Properties>
</file>