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CF7170" w14:textId="77777777" w:rsidR="00A0078C" w:rsidRDefault="00000000" w:rsidP="001C168A">
      <w:pPr>
        <w:pStyle w:val="1"/>
      </w:pPr>
      <w:r>
        <w:rPr>
          <w:rFonts w:ascii="Arial" w:eastAsia="Arial" w:hAnsi="Arial" w:cs="Arial"/>
        </w:rPr>
        <w:t>5.20B</w:t>
      </w:r>
    </w:p>
    <w:p w14:paraId="753F98D2" w14:textId="77777777" w:rsidR="00A0078C" w:rsidRDefault="00000000">
      <w:pPr>
        <w:pStyle w:val="Module"/>
      </w:pPr>
      <w:r>
        <w:rPr>
          <w:rFonts w:eastAsia="Arial" w:cs="Arial"/>
        </w:rPr>
        <w:t>M1</w:t>
      </w:r>
    </w:p>
    <w:p w14:paraId="23D6A6E7" w14:textId="77777777" w:rsidR="00A0078C" w:rsidRDefault="00000000">
      <w:pPr>
        <w:pStyle w:val="TypeHeading"/>
        <w:spacing w:after="120"/>
      </w:pPr>
      <w:r>
        <w:rPr>
          <w:rFonts w:eastAsia="Arial" w:cs="Arial"/>
        </w:rPr>
        <w:t>Complete the Words</w:t>
      </w:r>
    </w:p>
    <w:p w14:paraId="7CCDB412" w14:textId="77777777" w:rsidR="00A0078C" w:rsidRDefault="00000000">
      <w:pPr>
        <w:pStyle w:val="MaterialTitle"/>
        <w:jc w:val="center"/>
      </w:pPr>
      <w:r>
        <w:rPr>
          <w:rFonts w:eastAsia="Arial" w:cs="Arial"/>
        </w:rPr>
        <w:t>Questions 1-10 of 35</w:t>
      </w:r>
    </w:p>
    <w:p w14:paraId="7A8213AB" w14:textId="77777777" w:rsidR="00A0078C" w:rsidRDefault="00000000">
      <w:pPr>
        <w:pStyle w:val="Instruction"/>
      </w:pPr>
      <w:r>
        <w:rPr>
          <w:rFonts w:eastAsia="Arial" w:cs="Arial"/>
        </w:rPr>
        <w:t>Fill in the missing letters in the paragraph.</w:t>
      </w:r>
    </w:p>
    <w:p w14:paraId="6B396E25" w14:textId="77777777" w:rsidR="00A0078C" w:rsidRDefault="00000000">
      <w:pPr>
        <w:pStyle w:val="BodyText"/>
        <w:spacing w:after="200" w:line="300" w:lineRule="auto"/>
      </w:pPr>
      <w:r>
        <w:rPr>
          <w:rFonts w:eastAsia="Arial" w:cs="Arial"/>
        </w:rPr>
        <w:t>The earliest ancestor of the modern bicycle is probably a machine used in England in the early 1800s called a hobbyhorse. It h_ _ two whe_ _ _ and a pl_ _ _ to s_ _, but n_ pedals; rid_ _ _ would pu_ _ it al_ _ _ with th_ _ _ feet. La_ _ _, an inventor added pedals directly to the front wheel, like a modern child’s tricycle. This version, with a huge front wheel, was faster, but it was unsafe. Riders were high off the ground, and the two wheels were close together, making both balance and stopping difficult.</w:t>
      </w:r>
    </w:p>
    <w:p w14:paraId="1543785B" w14:textId="77777777" w:rsidR="00A0078C" w:rsidRDefault="00000000">
      <w:pPr>
        <w:pStyle w:val="MaterialTitle"/>
        <w:jc w:val="center"/>
      </w:pPr>
      <w:r>
        <w:rPr>
          <w:rFonts w:eastAsia="Arial" w:cs="Arial"/>
        </w:rPr>
        <w:t>Questions 11-20 of 35</w:t>
      </w:r>
    </w:p>
    <w:p w14:paraId="586CF8B9" w14:textId="77777777" w:rsidR="00A0078C" w:rsidRDefault="00000000">
      <w:pPr>
        <w:pStyle w:val="Instruction"/>
      </w:pPr>
      <w:r>
        <w:rPr>
          <w:rFonts w:eastAsia="Arial" w:cs="Arial"/>
        </w:rPr>
        <w:t>Fill in the missing letters in the paragraph.</w:t>
      </w:r>
    </w:p>
    <w:p w14:paraId="678EBDDA" w14:textId="77777777" w:rsidR="00A0078C" w:rsidRDefault="00000000">
      <w:pPr>
        <w:pStyle w:val="BodyText"/>
        <w:spacing w:after="200" w:line="300" w:lineRule="auto"/>
      </w:pPr>
      <w:r>
        <w:rPr>
          <w:rFonts w:eastAsia="Arial" w:cs="Arial"/>
        </w:rPr>
        <w:t>The Pinta Island tortoise, a subspecies of giant tortoise native to Ecuador’s Galápagos Islands, became extinct with the death of the last known individual, Lonesome George, in 2012. Pinta tortoises were kn_ _ _ for th_ _ _ domed she_ _ _ and lo_ _ necks ada_ _ _ _ for fee_ _ _ _; they pla_ _ _ a cru_ _ _ _ role i_ shaping veget_ _ _ _ _ by grazing on plants and dispersing seeds. The extinction of this subspecies highlights the impact of human activity on isolated ecosystems. Invasive species and habitat destruction were significant factors contributing to its decline.</w:t>
      </w:r>
    </w:p>
    <w:p w14:paraId="6A163C91" w14:textId="77777777" w:rsidR="00A0078C" w:rsidRDefault="00000000">
      <w:r>
        <w:br w:type="page"/>
      </w:r>
    </w:p>
    <w:p w14:paraId="721E87D9" w14:textId="77777777" w:rsidR="00A0078C" w:rsidRDefault="00000000">
      <w:pPr>
        <w:pStyle w:val="TypeHeading"/>
        <w:spacing w:after="120"/>
      </w:pPr>
      <w:r>
        <w:rPr>
          <w:rFonts w:eastAsia="Arial" w:cs="Arial"/>
        </w:rPr>
        <w:lastRenderedPageBreak/>
        <w:t>Read in Daily Life</w:t>
      </w:r>
    </w:p>
    <w:p w14:paraId="184E95BB" w14:textId="77777777" w:rsidR="00A0078C" w:rsidRDefault="00000000">
      <w:pPr>
        <w:pStyle w:val="Instruction"/>
        <w:spacing w:after="80"/>
      </w:pPr>
      <w:r>
        <w:rPr>
          <w:rFonts w:eastAsia="Arial" w:cs="Arial"/>
        </w:rPr>
        <w:t>Read a label.</w:t>
      </w:r>
    </w:p>
    <w:tbl>
      <w:tblPr>
        <w:tblW w:w="0" w:type="auto"/>
        <w:jc w:val="center"/>
        <w:tblLayout w:type="fixed"/>
        <w:tblLook w:val="04A0" w:firstRow="1" w:lastRow="0" w:firstColumn="1" w:lastColumn="0" w:noHBand="0" w:noVBand="1"/>
      </w:tblPr>
      <w:tblGrid>
        <w:gridCol w:w="4513"/>
        <w:gridCol w:w="4513"/>
      </w:tblGrid>
      <w:tr w:rsidR="00A0078C" w14:paraId="4C7B9880" w14:textId="77777777">
        <w:trPr>
          <w:cantSplit/>
          <w:jc w:val="center"/>
        </w:trPr>
        <w:tc>
          <w:tcPr>
            <w:tcW w:w="9026" w:type="dxa"/>
            <w:gridSpan w:val="2"/>
            <w:tcBorders>
              <w:top w:val="single" w:sz="8" w:space="0" w:color="333333"/>
              <w:left w:val="single" w:sz="8" w:space="0" w:color="333333"/>
              <w:bottom w:val="single" w:sz="8" w:space="0" w:color="333333"/>
              <w:right w:val="single" w:sz="8" w:space="0" w:color="333333"/>
            </w:tcBorders>
            <w:shd w:val="clear" w:color="auto" w:fill="FFFFFF"/>
            <w:tcMar>
              <w:top w:w="80" w:type="dxa"/>
              <w:left w:w="100" w:type="dxa"/>
              <w:bottom w:w="80" w:type="dxa"/>
              <w:right w:w="100" w:type="dxa"/>
            </w:tcMar>
          </w:tcPr>
          <w:p w14:paraId="19D2F131" w14:textId="77777777" w:rsidR="00A0078C" w:rsidRDefault="00000000" w:rsidP="00661200">
            <w:pPr>
              <w:spacing w:after="0" w:line="240" w:lineRule="auto"/>
              <w:jc w:val="center"/>
            </w:pPr>
            <w:r>
              <w:rPr>
                <w:rFonts w:eastAsia="Arial" w:cs="Arial"/>
                <w:b/>
              </w:rPr>
              <w:t>Ella Bottled Water</w:t>
            </w:r>
            <w:r>
              <w:rPr>
                <w:rFonts w:eastAsia="Arial" w:cs="Arial"/>
                <w:b/>
              </w:rPr>
              <w:br/>
              <w:t>(1 Case)</w:t>
            </w:r>
          </w:p>
        </w:tc>
      </w:tr>
      <w:tr w:rsidR="00A0078C" w14:paraId="43F89D98" w14:textId="77777777">
        <w:trPr>
          <w:cantSplit/>
          <w:jc w:val="center"/>
        </w:trPr>
        <w:tc>
          <w:tcPr>
            <w:tcW w:w="4513" w:type="dxa"/>
            <w:tcBorders>
              <w:top w:val="single" w:sz="8" w:space="0" w:color="333333"/>
              <w:left w:val="single" w:sz="8" w:space="0" w:color="333333"/>
              <w:bottom w:val="single" w:sz="8" w:space="0" w:color="333333"/>
              <w:right w:val="single" w:sz="8" w:space="0" w:color="333333"/>
            </w:tcBorders>
            <w:shd w:val="clear" w:color="auto" w:fill="FFFFFF"/>
            <w:tcMar>
              <w:top w:w="80" w:type="dxa"/>
              <w:left w:w="100" w:type="dxa"/>
              <w:bottom w:w="80" w:type="dxa"/>
              <w:right w:w="100" w:type="dxa"/>
            </w:tcMar>
          </w:tcPr>
          <w:p w14:paraId="3C964D14" w14:textId="77777777" w:rsidR="00A0078C" w:rsidRDefault="00000000" w:rsidP="00661200">
            <w:pPr>
              <w:spacing w:after="0" w:line="240" w:lineRule="auto"/>
            </w:pPr>
            <w:r>
              <w:rPr>
                <w:rFonts w:eastAsia="Arial" w:cs="Arial"/>
                <w:b/>
              </w:rPr>
              <w:t>Contains:</w:t>
            </w:r>
          </w:p>
        </w:tc>
        <w:tc>
          <w:tcPr>
            <w:tcW w:w="4513" w:type="dxa"/>
            <w:tcBorders>
              <w:top w:val="single" w:sz="8" w:space="0" w:color="333333"/>
              <w:left w:val="single" w:sz="8" w:space="0" w:color="333333"/>
              <w:bottom w:val="single" w:sz="8" w:space="0" w:color="333333"/>
              <w:right w:val="single" w:sz="8" w:space="0" w:color="333333"/>
            </w:tcBorders>
            <w:shd w:val="clear" w:color="auto" w:fill="FFFFFF"/>
            <w:tcMar>
              <w:top w:w="80" w:type="dxa"/>
              <w:left w:w="100" w:type="dxa"/>
              <w:bottom w:w="80" w:type="dxa"/>
              <w:right w:w="100" w:type="dxa"/>
            </w:tcMar>
          </w:tcPr>
          <w:p w14:paraId="6D17C54A" w14:textId="77777777" w:rsidR="00A0078C" w:rsidRDefault="00000000" w:rsidP="00661200">
            <w:pPr>
              <w:spacing w:after="0" w:line="240" w:lineRule="auto"/>
            </w:pPr>
            <w:r>
              <w:rPr>
                <w:rFonts w:eastAsia="Arial" w:cs="Arial"/>
              </w:rPr>
              <w:t>12 bottles</w:t>
            </w:r>
            <w:r>
              <w:rPr>
                <w:rFonts w:eastAsia="Arial" w:cs="Arial"/>
              </w:rPr>
              <w:br/>
              <w:t>150 centilitres each</w:t>
            </w:r>
          </w:p>
        </w:tc>
      </w:tr>
      <w:tr w:rsidR="00A0078C" w14:paraId="20064189" w14:textId="77777777">
        <w:trPr>
          <w:cantSplit/>
          <w:jc w:val="center"/>
        </w:trPr>
        <w:tc>
          <w:tcPr>
            <w:tcW w:w="4513" w:type="dxa"/>
            <w:tcBorders>
              <w:top w:val="single" w:sz="8" w:space="0" w:color="333333"/>
              <w:left w:val="single" w:sz="8" w:space="0" w:color="333333"/>
              <w:bottom w:val="single" w:sz="8" w:space="0" w:color="333333"/>
              <w:right w:val="single" w:sz="8" w:space="0" w:color="333333"/>
            </w:tcBorders>
            <w:shd w:val="clear" w:color="auto" w:fill="FFFFFF"/>
            <w:tcMar>
              <w:top w:w="80" w:type="dxa"/>
              <w:left w:w="100" w:type="dxa"/>
              <w:bottom w:w="80" w:type="dxa"/>
              <w:right w:w="100" w:type="dxa"/>
            </w:tcMar>
          </w:tcPr>
          <w:p w14:paraId="33C2B7D8" w14:textId="77777777" w:rsidR="00A0078C" w:rsidRDefault="00000000" w:rsidP="00661200">
            <w:pPr>
              <w:spacing w:after="0" w:line="240" w:lineRule="auto"/>
            </w:pPr>
            <w:r>
              <w:rPr>
                <w:rFonts w:eastAsia="Arial" w:cs="Arial"/>
                <w:b/>
              </w:rPr>
              <w:t>Ingredient:</w:t>
            </w:r>
          </w:p>
        </w:tc>
        <w:tc>
          <w:tcPr>
            <w:tcW w:w="4513" w:type="dxa"/>
            <w:tcBorders>
              <w:top w:val="single" w:sz="8" w:space="0" w:color="333333"/>
              <w:left w:val="single" w:sz="8" w:space="0" w:color="333333"/>
              <w:bottom w:val="single" w:sz="8" w:space="0" w:color="333333"/>
              <w:right w:val="single" w:sz="8" w:space="0" w:color="333333"/>
            </w:tcBorders>
            <w:shd w:val="clear" w:color="auto" w:fill="FFFFFF"/>
            <w:tcMar>
              <w:top w:w="80" w:type="dxa"/>
              <w:left w:w="100" w:type="dxa"/>
              <w:bottom w:w="80" w:type="dxa"/>
              <w:right w:w="100" w:type="dxa"/>
            </w:tcMar>
          </w:tcPr>
          <w:p w14:paraId="5013BB53" w14:textId="77777777" w:rsidR="00A0078C" w:rsidRDefault="00000000" w:rsidP="00661200">
            <w:pPr>
              <w:spacing w:after="0" w:line="240" w:lineRule="auto"/>
            </w:pPr>
            <w:r>
              <w:rPr>
                <w:rFonts w:eastAsia="Arial" w:cs="Arial"/>
              </w:rPr>
              <w:t>Natural mineral water</w:t>
            </w:r>
          </w:p>
        </w:tc>
      </w:tr>
      <w:tr w:rsidR="00A0078C" w14:paraId="2C287FAE" w14:textId="77777777">
        <w:trPr>
          <w:cantSplit/>
          <w:jc w:val="center"/>
        </w:trPr>
        <w:tc>
          <w:tcPr>
            <w:tcW w:w="4513" w:type="dxa"/>
            <w:tcBorders>
              <w:top w:val="single" w:sz="8" w:space="0" w:color="333333"/>
              <w:left w:val="single" w:sz="8" w:space="0" w:color="333333"/>
              <w:bottom w:val="single" w:sz="8" w:space="0" w:color="333333"/>
              <w:right w:val="single" w:sz="8" w:space="0" w:color="333333"/>
            </w:tcBorders>
            <w:shd w:val="clear" w:color="auto" w:fill="FFFFFF"/>
            <w:tcMar>
              <w:top w:w="80" w:type="dxa"/>
              <w:left w:w="100" w:type="dxa"/>
              <w:bottom w:w="80" w:type="dxa"/>
              <w:right w:w="100" w:type="dxa"/>
            </w:tcMar>
          </w:tcPr>
          <w:p w14:paraId="2B0CEB34" w14:textId="77777777" w:rsidR="00A0078C" w:rsidRDefault="00000000" w:rsidP="00661200">
            <w:pPr>
              <w:spacing w:after="0" w:line="240" w:lineRule="auto"/>
            </w:pPr>
            <w:r>
              <w:rPr>
                <w:rFonts w:eastAsia="Arial" w:cs="Arial"/>
                <w:b/>
              </w:rPr>
              <w:t>Produced by:</w:t>
            </w:r>
          </w:p>
        </w:tc>
        <w:tc>
          <w:tcPr>
            <w:tcW w:w="4513" w:type="dxa"/>
            <w:tcBorders>
              <w:top w:val="single" w:sz="8" w:space="0" w:color="333333"/>
              <w:left w:val="single" w:sz="8" w:space="0" w:color="333333"/>
              <w:bottom w:val="single" w:sz="8" w:space="0" w:color="333333"/>
              <w:right w:val="single" w:sz="8" w:space="0" w:color="333333"/>
            </w:tcBorders>
            <w:shd w:val="clear" w:color="auto" w:fill="FFFFFF"/>
            <w:tcMar>
              <w:top w:w="80" w:type="dxa"/>
              <w:left w:w="100" w:type="dxa"/>
              <w:bottom w:w="80" w:type="dxa"/>
              <w:right w:w="100" w:type="dxa"/>
            </w:tcMar>
          </w:tcPr>
          <w:p w14:paraId="29A7F9D7" w14:textId="77777777" w:rsidR="00A0078C" w:rsidRDefault="00000000" w:rsidP="00661200">
            <w:pPr>
              <w:spacing w:after="0" w:line="240" w:lineRule="auto"/>
            </w:pPr>
            <w:r>
              <w:rPr>
                <w:rFonts w:eastAsia="Arial" w:cs="Arial"/>
              </w:rPr>
              <w:t>The Pureway Company</w:t>
            </w:r>
            <w:r>
              <w:rPr>
                <w:rFonts w:eastAsia="Arial" w:cs="Arial"/>
              </w:rPr>
              <w:br/>
              <w:t>Lagos Mainland, Nigeria</w:t>
            </w:r>
          </w:p>
        </w:tc>
      </w:tr>
      <w:tr w:rsidR="00A0078C" w14:paraId="2DF08AA9" w14:textId="77777777">
        <w:trPr>
          <w:cantSplit/>
          <w:jc w:val="center"/>
        </w:trPr>
        <w:tc>
          <w:tcPr>
            <w:tcW w:w="4513" w:type="dxa"/>
            <w:tcBorders>
              <w:top w:val="single" w:sz="8" w:space="0" w:color="333333"/>
              <w:left w:val="single" w:sz="8" w:space="0" w:color="333333"/>
              <w:bottom w:val="single" w:sz="8" w:space="0" w:color="333333"/>
              <w:right w:val="single" w:sz="8" w:space="0" w:color="333333"/>
            </w:tcBorders>
            <w:shd w:val="clear" w:color="auto" w:fill="FFFFFF"/>
            <w:tcMar>
              <w:top w:w="80" w:type="dxa"/>
              <w:left w:w="100" w:type="dxa"/>
              <w:bottom w:w="80" w:type="dxa"/>
              <w:right w:w="100" w:type="dxa"/>
            </w:tcMar>
          </w:tcPr>
          <w:p w14:paraId="28B6F022" w14:textId="77777777" w:rsidR="00A0078C" w:rsidRDefault="00000000" w:rsidP="00661200">
            <w:pPr>
              <w:spacing w:after="0" w:line="240" w:lineRule="auto"/>
            </w:pPr>
            <w:r>
              <w:rPr>
                <w:rFonts w:eastAsia="Arial" w:cs="Arial"/>
                <w:b/>
              </w:rPr>
              <w:t>Cost:</w:t>
            </w:r>
          </w:p>
        </w:tc>
        <w:tc>
          <w:tcPr>
            <w:tcW w:w="4513" w:type="dxa"/>
            <w:tcBorders>
              <w:top w:val="single" w:sz="8" w:space="0" w:color="333333"/>
              <w:left w:val="single" w:sz="8" w:space="0" w:color="333333"/>
              <w:bottom w:val="single" w:sz="8" w:space="0" w:color="333333"/>
              <w:right w:val="single" w:sz="8" w:space="0" w:color="333333"/>
            </w:tcBorders>
            <w:shd w:val="clear" w:color="auto" w:fill="FFFFFF"/>
            <w:tcMar>
              <w:top w:w="80" w:type="dxa"/>
              <w:left w:w="100" w:type="dxa"/>
              <w:bottom w:w="80" w:type="dxa"/>
              <w:right w:w="100" w:type="dxa"/>
            </w:tcMar>
          </w:tcPr>
          <w:p w14:paraId="0D270B7E" w14:textId="77777777" w:rsidR="00A0078C" w:rsidRDefault="00000000" w:rsidP="00661200">
            <w:pPr>
              <w:spacing w:after="0" w:line="240" w:lineRule="auto"/>
            </w:pPr>
            <w:r>
              <w:rPr>
                <w:rFonts w:eastAsia="Arial" w:cs="Arial"/>
              </w:rPr>
              <w:t>₦1,000</w:t>
            </w:r>
          </w:p>
        </w:tc>
      </w:tr>
    </w:tbl>
    <w:p w14:paraId="44F77594" w14:textId="77777777" w:rsidR="00A0078C" w:rsidRDefault="00000000">
      <w:pPr>
        <w:pStyle w:val="QuestionText"/>
        <w:spacing w:after="60"/>
      </w:pPr>
      <w:r>
        <w:rPr>
          <w:rFonts w:eastAsia="Arial" w:cs="Arial"/>
        </w:rPr>
        <w:t>21. How many items are in one case?</w:t>
      </w:r>
    </w:p>
    <w:p w14:paraId="6466884E" w14:textId="77777777" w:rsidR="00A0078C" w:rsidRDefault="00000000">
      <w:pPr>
        <w:pStyle w:val="OptionText"/>
        <w:spacing w:after="20"/>
      </w:pPr>
      <w:r>
        <w:rPr>
          <w:rFonts w:eastAsia="Arial" w:cs="Arial"/>
        </w:rPr>
        <w:t>A. 1</w:t>
      </w:r>
    </w:p>
    <w:p w14:paraId="4C87F47F" w14:textId="77777777" w:rsidR="00A0078C" w:rsidRDefault="00000000">
      <w:pPr>
        <w:pStyle w:val="OptionText"/>
        <w:spacing w:after="20"/>
      </w:pPr>
      <w:r>
        <w:rPr>
          <w:rFonts w:eastAsia="Arial" w:cs="Arial"/>
        </w:rPr>
        <w:t>B. 12</w:t>
      </w:r>
    </w:p>
    <w:p w14:paraId="16BB9603" w14:textId="77777777" w:rsidR="00A0078C" w:rsidRDefault="00000000">
      <w:pPr>
        <w:pStyle w:val="OptionText"/>
        <w:spacing w:after="20"/>
      </w:pPr>
      <w:r>
        <w:rPr>
          <w:rFonts w:eastAsia="Arial" w:cs="Arial"/>
        </w:rPr>
        <w:t>C. 150</w:t>
      </w:r>
    </w:p>
    <w:p w14:paraId="3576BDD1" w14:textId="77777777" w:rsidR="00A0078C" w:rsidRDefault="00000000">
      <w:pPr>
        <w:pStyle w:val="OptionText"/>
        <w:spacing w:after="100"/>
      </w:pPr>
      <w:r>
        <w:rPr>
          <w:rFonts w:eastAsia="Arial" w:cs="Arial"/>
        </w:rPr>
        <w:t>D. 1,000</w:t>
      </w:r>
    </w:p>
    <w:p w14:paraId="275CD4C4" w14:textId="77777777" w:rsidR="00A0078C" w:rsidRDefault="00000000">
      <w:pPr>
        <w:pStyle w:val="QuestionText"/>
        <w:spacing w:after="60"/>
      </w:pPr>
      <w:r>
        <w:rPr>
          <w:rFonts w:eastAsia="Arial" w:cs="Arial"/>
        </w:rPr>
        <w:t>22. What is the brand name of the product?</w:t>
      </w:r>
    </w:p>
    <w:p w14:paraId="2F5B34E0" w14:textId="77777777" w:rsidR="00A0078C" w:rsidRDefault="00000000">
      <w:pPr>
        <w:pStyle w:val="OptionText"/>
        <w:spacing w:after="20"/>
      </w:pPr>
      <w:r>
        <w:rPr>
          <w:rFonts w:eastAsia="Arial" w:cs="Arial"/>
        </w:rPr>
        <w:t>A. Ella</w:t>
      </w:r>
    </w:p>
    <w:p w14:paraId="59084EC3" w14:textId="77777777" w:rsidR="00A0078C" w:rsidRDefault="00000000">
      <w:pPr>
        <w:pStyle w:val="OptionText"/>
        <w:spacing w:after="20"/>
      </w:pPr>
      <w:r>
        <w:rPr>
          <w:rFonts w:eastAsia="Arial" w:cs="Arial"/>
        </w:rPr>
        <w:t>B. Natural</w:t>
      </w:r>
    </w:p>
    <w:p w14:paraId="2EC2836E" w14:textId="77777777" w:rsidR="00A0078C" w:rsidRDefault="00000000">
      <w:pPr>
        <w:pStyle w:val="OptionText"/>
        <w:spacing w:after="20"/>
      </w:pPr>
      <w:r>
        <w:rPr>
          <w:rFonts w:eastAsia="Arial" w:cs="Arial"/>
        </w:rPr>
        <w:t>C. Lagos</w:t>
      </w:r>
    </w:p>
    <w:p w14:paraId="7738DEB6" w14:textId="77777777" w:rsidR="00A0078C" w:rsidRDefault="00000000">
      <w:pPr>
        <w:pStyle w:val="OptionText"/>
        <w:spacing w:after="100"/>
      </w:pPr>
      <w:r>
        <w:rPr>
          <w:rFonts w:eastAsia="Arial" w:cs="Arial"/>
        </w:rPr>
        <w:t>D. Mainland</w:t>
      </w:r>
    </w:p>
    <w:p w14:paraId="534A2585" w14:textId="77777777" w:rsidR="00857744" w:rsidRDefault="00857744">
      <w:pPr>
        <w:pStyle w:val="Instruction"/>
        <w:spacing w:after="80"/>
        <w:rPr>
          <w:rFonts w:eastAsia="Arial" w:cs="Arial"/>
          <w:lang w:eastAsia="zh-CN"/>
        </w:rPr>
      </w:pPr>
    </w:p>
    <w:p w14:paraId="5BC4DE75" w14:textId="3B8E0B09" w:rsidR="00A0078C" w:rsidRDefault="00000000">
      <w:pPr>
        <w:pStyle w:val="Instruction"/>
        <w:spacing w:after="80"/>
      </w:pPr>
      <w:r>
        <w:rPr>
          <w:rFonts w:eastAsia="Arial" w:cs="Arial"/>
        </w:rPr>
        <w:t>Read an excerpt from a syllabus.</w:t>
      </w:r>
    </w:p>
    <w:tbl>
      <w:tblPr>
        <w:tblW w:w="9025" w:type="dxa"/>
        <w:tblBorders>
          <w:top w:val="single" w:sz="8" w:space="0" w:color="6B6B6B"/>
          <w:left w:val="single" w:sz="8" w:space="0" w:color="6B6B6B"/>
          <w:bottom w:val="single" w:sz="8" w:space="0" w:color="6B6B6B"/>
          <w:right w:val="single" w:sz="8" w:space="0" w:color="6B6B6B"/>
          <w:insideH w:val="nil"/>
          <w:insideV w:val="nil"/>
        </w:tblBorders>
        <w:tblLayout w:type="fixed"/>
        <w:tblLook w:val="04A0" w:firstRow="1" w:lastRow="0" w:firstColumn="1" w:lastColumn="0" w:noHBand="0" w:noVBand="1"/>
      </w:tblPr>
      <w:tblGrid>
        <w:gridCol w:w="9025"/>
      </w:tblGrid>
      <w:tr w:rsidR="00C530F5" w14:paraId="349DC9F8" w14:textId="77777777">
        <w:tc>
          <w:tcPr>
            <w:tcW w:w="9026" w:type="dxa"/>
            <w:tcMar>
              <w:top w:w="140" w:type="dxa"/>
              <w:left w:w="180" w:type="dxa"/>
              <w:bottom w:w="140" w:type="dxa"/>
              <w:right w:w="180" w:type="dxa"/>
            </w:tcMar>
            <w:vAlign w:val="center"/>
          </w:tcPr>
          <w:p w14:paraId="61DE8A31" w14:textId="77777777" w:rsidR="00000000" w:rsidRDefault="00000000">
            <w:pPr>
              <w:pStyle w:val="PassageBody"/>
            </w:pPr>
            <w:r>
              <w:rPr>
                <w:rFonts w:eastAsia="Arial" w:cs="Arial"/>
              </w:rPr>
              <w:t>This course explores classical mechanics, thermodynamics, and electromagnetism through lectures, labs, and problem-solving sessions.</w:t>
            </w:r>
          </w:p>
          <w:p w14:paraId="31685823" w14:textId="77777777" w:rsidR="00000000" w:rsidRDefault="00000000">
            <w:pPr>
              <w:pStyle w:val="PassageBody"/>
            </w:pPr>
            <w:r>
              <w:rPr>
                <w:rFonts w:eastAsia="Arial" w:cs="Arial"/>
              </w:rPr>
              <w:t>Students will develop analytical skills and apply mathematical models to physical systems. Weekly assignments, lab reports, and exams assess understanding.</w:t>
            </w:r>
          </w:p>
          <w:p w14:paraId="0B0A047E" w14:textId="77777777" w:rsidR="00000000" w:rsidRDefault="00000000">
            <w:pPr>
              <w:pStyle w:val="PassageBody"/>
            </w:pPr>
            <w:r>
              <w:rPr>
                <w:rFonts w:eastAsia="Arial" w:cs="Arial"/>
              </w:rPr>
              <w:t>Prerequisites include Calculus.</w:t>
            </w:r>
          </w:p>
          <w:p w14:paraId="1A5B1E15" w14:textId="77777777" w:rsidR="00000000" w:rsidRDefault="00000000">
            <w:pPr>
              <w:pStyle w:val="PassageBody"/>
              <w:spacing w:after="20"/>
            </w:pPr>
            <w:r>
              <w:rPr>
                <w:rFonts w:eastAsia="Arial" w:cs="Arial"/>
              </w:rPr>
              <w:t>Attendance and participation are essential for success.</w:t>
            </w:r>
          </w:p>
        </w:tc>
      </w:tr>
    </w:tbl>
    <w:p w14:paraId="619F94B6" w14:textId="77777777" w:rsidR="00A0078C" w:rsidRDefault="00000000">
      <w:pPr>
        <w:pStyle w:val="QuestionText"/>
        <w:spacing w:after="60"/>
      </w:pPr>
      <w:r>
        <w:rPr>
          <w:rFonts w:eastAsia="Arial" w:cs="Arial"/>
        </w:rPr>
        <w:t>23. What is the most likely subject of the course?</w:t>
      </w:r>
    </w:p>
    <w:p w14:paraId="4218F02B" w14:textId="77777777" w:rsidR="00A0078C" w:rsidRDefault="00000000">
      <w:pPr>
        <w:pStyle w:val="OptionText"/>
        <w:spacing w:after="20"/>
      </w:pPr>
      <w:r>
        <w:rPr>
          <w:rFonts w:eastAsia="Arial" w:cs="Arial"/>
        </w:rPr>
        <w:t>A. Biology</w:t>
      </w:r>
    </w:p>
    <w:p w14:paraId="51C28A98" w14:textId="77777777" w:rsidR="00A0078C" w:rsidRDefault="00000000">
      <w:pPr>
        <w:pStyle w:val="OptionText"/>
        <w:spacing w:after="20"/>
      </w:pPr>
      <w:r>
        <w:rPr>
          <w:rFonts w:eastAsia="Arial" w:cs="Arial"/>
        </w:rPr>
        <w:t>B. Calculus</w:t>
      </w:r>
    </w:p>
    <w:p w14:paraId="2F4BD56B" w14:textId="77777777" w:rsidR="00A0078C" w:rsidRDefault="00000000">
      <w:pPr>
        <w:pStyle w:val="OptionText"/>
        <w:spacing w:after="20"/>
      </w:pPr>
      <w:r>
        <w:rPr>
          <w:rFonts w:eastAsia="Arial" w:cs="Arial"/>
        </w:rPr>
        <w:t>C. Physics</w:t>
      </w:r>
    </w:p>
    <w:p w14:paraId="0B472871" w14:textId="77777777" w:rsidR="00A0078C" w:rsidRDefault="00000000">
      <w:pPr>
        <w:pStyle w:val="OptionText"/>
        <w:spacing w:after="100"/>
      </w:pPr>
      <w:r>
        <w:rPr>
          <w:rFonts w:eastAsia="Arial" w:cs="Arial"/>
        </w:rPr>
        <w:t>D. Sociology</w:t>
      </w:r>
    </w:p>
    <w:p w14:paraId="43E71DDD" w14:textId="77777777" w:rsidR="00A0078C" w:rsidRDefault="00000000">
      <w:pPr>
        <w:pStyle w:val="QuestionText"/>
        <w:spacing w:after="60"/>
      </w:pPr>
      <w:r>
        <w:rPr>
          <w:rFonts w:eastAsia="Arial" w:cs="Arial"/>
        </w:rPr>
        <w:t>24. What is NOT mentioned as an assessment method?</w:t>
      </w:r>
    </w:p>
    <w:p w14:paraId="14718493" w14:textId="77777777" w:rsidR="00A0078C" w:rsidRDefault="00000000">
      <w:pPr>
        <w:pStyle w:val="OptionText"/>
        <w:spacing w:after="20"/>
      </w:pPr>
      <w:r>
        <w:rPr>
          <w:rFonts w:eastAsia="Arial" w:cs="Arial"/>
        </w:rPr>
        <w:t>A. Weekly exercises</w:t>
      </w:r>
    </w:p>
    <w:p w14:paraId="61F7B459" w14:textId="77777777" w:rsidR="00A0078C" w:rsidRDefault="00000000">
      <w:pPr>
        <w:pStyle w:val="OptionText"/>
        <w:spacing w:after="20"/>
      </w:pPr>
      <w:r>
        <w:rPr>
          <w:rFonts w:eastAsia="Arial" w:cs="Arial"/>
        </w:rPr>
        <w:t>B. Lab reports</w:t>
      </w:r>
    </w:p>
    <w:p w14:paraId="76CE95F7" w14:textId="77777777" w:rsidR="00A0078C" w:rsidRDefault="00000000">
      <w:pPr>
        <w:pStyle w:val="OptionText"/>
        <w:spacing w:after="20"/>
      </w:pPr>
      <w:r>
        <w:rPr>
          <w:rFonts w:eastAsia="Arial" w:cs="Arial"/>
        </w:rPr>
        <w:t>C. Tests</w:t>
      </w:r>
    </w:p>
    <w:p w14:paraId="6E5C2A8D" w14:textId="77777777" w:rsidR="00A0078C" w:rsidRDefault="00000000">
      <w:pPr>
        <w:pStyle w:val="OptionText"/>
        <w:spacing w:after="100"/>
      </w:pPr>
      <w:r>
        <w:rPr>
          <w:rFonts w:eastAsia="Arial" w:cs="Arial"/>
        </w:rPr>
        <w:t>D. Essays</w:t>
      </w:r>
    </w:p>
    <w:p w14:paraId="60D94CF2" w14:textId="77777777" w:rsidR="00A0078C" w:rsidRDefault="00000000">
      <w:pPr>
        <w:pStyle w:val="Instruction"/>
        <w:spacing w:after="80"/>
      </w:pPr>
      <w:r>
        <w:rPr>
          <w:rFonts w:eastAsia="Arial" w:cs="Arial"/>
        </w:rPr>
        <w:lastRenderedPageBreak/>
        <w:t>Read the following notice.</w:t>
      </w:r>
    </w:p>
    <w:tbl>
      <w:tblPr>
        <w:tblW w:w="0" w:type="auto"/>
        <w:jc w:val="center"/>
        <w:tblLayout w:type="fixed"/>
        <w:tblLook w:val="04A0" w:firstRow="1" w:lastRow="0" w:firstColumn="1" w:lastColumn="0" w:noHBand="0" w:noVBand="1"/>
      </w:tblPr>
      <w:tblGrid>
        <w:gridCol w:w="9026"/>
      </w:tblGrid>
      <w:tr w:rsidR="00A0078C" w14:paraId="73BCDF20" w14:textId="77777777">
        <w:trPr>
          <w:cantSplit/>
          <w:jc w:val="center"/>
        </w:trPr>
        <w:tc>
          <w:tcPr>
            <w:tcW w:w="9026" w:type="dxa"/>
            <w:tcBorders>
              <w:top w:val="single" w:sz="8" w:space="0" w:color="006F68"/>
              <w:left w:val="single" w:sz="8" w:space="0" w:color="006F68"/>
              <w:bottom w:val="single" w:sz="8" w:space="0" w:color="006F68"/>
              <w:right w:val="single" w:sz="8" w:space="0" w:color="006F68"/>
            </w:tcBorders>
            <w:shd w:val="clear" w:color="auto" w:fill="D9F0F0"/>
            <w:tcMar>
              <w:top w:w="100" w:type="dxa"/>
              <w:left w:w="140" w:type="dxa"/>
              <w:bottom w:w="100" w:type="dxa"/>
              <w:right w:w="140" w:type="dxa"/>
            </w:tcMar>
          </w:tcPr>
          <w:p w14:paraId="0B69C525" w14:textId="77777777" w:rsidR="00A0078C" w:rsidRDefault="00000000">
            <w:pPr>
              <w:spacing w:after="0"/>
              <w:jc w:val="center"/>
            </w:pPr>
            <w:r>
              <w:rPr>
                <w:rFonts w:eastAsia="Arial" w:cs="Arial"/>
                <w:b/>
              </w:rPr>
              <w:t>Downtown School of Data Skills</w:t>
            </w:r>
          </w:p>
        </w:tc>
      </w:tr>
      <w:tr w:rsidR="00A0078C" w14:paraId="71016B74" w14:textId="77777777">
        <w:trPr>
          <w:cantSplit/>
          <w:jc w:val="center"/>
        </w:trPr>
        <w:tc>
          <w:tcPr>
            <w:tcW w:w="9026" w:type="dxa"/>
            <w:tcBorders>
              <w:top w:val="single" w:sz="8" w:space="0" w:color="006F68"/>
              <w:left w:val="single" w:sz="8" w:space="0" w:color="006F68"/>
              <w:bottom w:val="single" w:sz="8" w:space="0" w:color="006F68"/>
              <w:right w:val="single" w:sz="8" w:space="0" w:color="006F68"/>
            </w:tcBorders>
            <w:shd w:val="clear" w:color="auto" w:fill="FFFFFF"/>
            <w:tcMar>
              <w:top w:w="100" w:type="dxa"/>
              <w:left w:w="140" w:type="dxa"/>
              <w:bottom w:w="100" w:type="dxa"/>
              <w:right w:w="140" w:type="dxa"/>
            </w:tcMar>
          </w:tcPr>
          <w:p w14:paraId="2FC8C1CB" w14:textId="77777777" w:rsidR="00A0078C" w:rsidRDefault="00000000" w:rsidP="0034177C">
            <w:pPr>
              <w:spacing w:after="0"/>
            </w:pPr>
            <w:r>
              <w:rPr>
                <w:rFonts w:eastAsia="Arial" w:cs="Arial"/>
              </w:rPr>
              <w:t>All classes meet for eight sessions from 6:00 P.M. to 7:00 P.M. beginning September 1.</w:t>
            </w:r>
          </w:p>
          <w:p w14:paraId="43BF4344" w14:textId="77777777" w:rsidR="00A0078C" w:rsidRPr="0019185B" w:rsidRDefault="00000000" w:rsidP="0034177C">
            <w:pPr>
              <w:spacing w:after="0"/>
              <w:rPr>
                <w:u w:val="single"/>
              </w:rPr>
            </w:pPr>
            <w:r w:rsidRPr="0019185B">
              <w:rPr>
                <w:rFonts w:eastAsia="Arial" w:cs="Arial"/>
                <w:b/>
                <w:u w:val="single"/>
              </w:rPr>
              <w:t>Spreadsheet Introduction</w:t>
            </w:r>
          </w:p>
          <w:p w14:paraId="1B845C3A" w14:textId="77777777" w:rsidR="00A0078C" w:rsidRDefault="00000000" w:rsidP="0034177C">
            <w:pPr>
              <w:spacing w:after="0"/>
            </w:pPr>
            <w:r>
              <w:rPr>
                <w:rFonts w:eastAsia="Arial" w:cs="Arial"/>
              </w:rPr>
              <w:t>Students will learn how to create spreadsheets and use functions that can speed up work. This course is good for beginners and those who need to relearn basics.</w:t>
            </w:r>
          </w:p>
          <w:tbl>
            <w:tblPr>
              <w:tblW w:w="0" w:type="auto"/>
              <w:jc w:val="center"/>
              <w:tblLayout w:type="fixed"/>
              <w:tblLook w:val="04A0" w:firstRow="1" w:lastRow="0" w:firstColumn="1" w:lastColumn="0" w:noHBand="0" w:noVBand="1"/>
            </w:tblPr>
            <w:tblGrid>
              <w:gridCol w:w="4513"/>
              <w:gridCol w:w="4513"/>
            </w:tblGrid>
            <w:tr w:rsidR="00A0078C" w14:paraId="4B5E7CEB" w14:textId="77777777">
              <w:trPr>
                <w:cantSplit/>
                <w:jc w:val="center"/>
              </w:trPr>
              <w:tc>
                <w:tcPr>
                  <w:tcW w:w="4513" w:type="dxa"/>
                  <w:tcBorders>
                    <w:top w:val="single" w:sz="6" w:space="0" w:color="777777"/>
                    <w:left w:val="single" w:sz="6" w:space="0" w:color="777777"/>
                    <w:bottom w:val="single" w:sz="6" w:space="0" w:color="777777"/>
                    <w:right w:val="single" w:sz="6" w:space="0" w:color="777777"/>
                  </w:tcBorders>
                  <w:shd w:val="clear" w:color="auto" w:fill="FFFFFF"/>
                  <w:tcMar>
                    <w:top w:w="35" w:type="dxa"/>
                    <w:left w:w="75" w:type="dxa"/>
                    <w:bottom w:w="35" w:type="dxa"/>
                    <w:right w:w="75" w:type="dxa"/>
                  </w:tcMar>
                </w:tcPr>
                <w:p w14:paraId="3FD2CC5A" w14:textId="77777777" w:rsidR="00A0078C" w:rsidRDefault="00000000">
                  <w:pPr>
                    <w:spacing w:after="0"/>
                  </w:pPr>
                  <w:r>
                    <w:rPr>
                      <w:rFonts w:eastAsia="Arial" w:cs="Arial"/>
                      <w:sz w:val="20"/>
                    </w:rPr>
                    <w:t>Section A</w:t>
                  </w:r>
                </w:p>
              </w:tc>
              <w:tc>
                <w:tcPr>
                  <w:tcW w:w="4513" w:type="dxa"/>
                  <w:tcBorders>
                    <w:top w:val="single" w:sz="6" w:space="0" w:color="777777"/>
                    <w:left w:val="single" w:sz="6" w:space="0" w:color="777777"/>
                    <w:bottom w:val="single" w:sz="6" w:space="0" w:color="777777"/>
                    <w:right w:val="single" w:sz="6" w:space="0" w:color="777777"/>
                  </w:tcBorders>
                  <w:shd w:val="clear" w:color="auto" w:fill="FFFFFF"/>
                  <w:tcMar>
                    <w:top w:w="35" w:type="dxa"/>
                    <w:left w:w="75" w:type="dxa"/>
                    <w:bottom w:w="35" w:type="dxa"/>
                    <w:right w:w="75" w:type="dxa"/>
                  </w:tcMar>
                </w:tcPr>
                <w:p w14:paraId="14F663C7" w14:textId="77777777" w:rsidR="00A0078C" w:rsidRDefault="00000000">
                  <w:pPr>
                    <w:spacing w:after="0"/>
                  </w:pPr>
                  <w:r>
                    <w:rPr>
                      <w:rFonts w:eastAsia="Arial" w:cs="Arial"/>
                      <w:sz w:val="20"/>
                    </w:rPr>
                    <w:t>Mondays and Wednesdays</w:t>
                  </w:r>
                </w:p>
              </w:tc>
            </w:tr>
            <w:tr w:rsidR="00A0078C" w14:paraId="397733DB" w14:textId="77777777">
              <w:trPr>
                <w:cantSplit/>
                <w:jc w:val="center"/>
              </w:trPr>
              <w:tc>
                <w:tcPr>
                  <w:tcW w:w="4513" w:type="dxa"/>
                  <w:tcBorders>
                    <w:top w:val="single" w:sz="6" w:space="0" w:color="777777"/>
                    <w:left w:val="single" w:sz="6" w:space="0" w:color="777777"/>
                    <w:bottom w:val="single" w:sz="6" w:space="0" w:color="777777"/>
                    <w:right w:val="single" w:sz="6" w:space="0" w:color="777777"/>
                  </w:tcBorders>
                  <w:shd w:val="clear" w:color="auto" w:fill="FFFFFF"/>
                  <w:tcMar>
                    <w:top w:w="35" w:type="dxa"/>
                    <w:left w:w="75" w:type="dxa"/>
                    <w:bottom w:w="35" w:type="dxa"/>
                    <w:right w:w="75" w:type="dxa"/>
                  </w:tcMar>
                </w:tcPr>
                <w:p w14:paraId="02EB22FC" w14:textId="77777777" w:rsidR="00A0078C" w:rsidRDefault="00000000">
                  <w:pPr>
                    <w:spacing w:after="0"/>
                  </w:pPr>
                  <w:r>
                    <w:rPr>
                      <w:rFonts w:eastAsia="Arial" w:cs="Arial"/>
                      <w:sz w:val="20"/>
                    </w:rPr>
                    <w:t>Section B</w:t>
                  </w:r>
                </w:p>
              </w:tc>
              <w:tc>
                <w:tcPr>
                  <w:tcW w:w="4513" w:type="dxa"/>
                  <w:tcBorders>
                    <w:top w:val="single" w:sz="6" w:space="0" w:color="777777"/>
                    <w:left w:val="single" w:sz="6" w:space="0" w:color="777777"/>
                    <w:bottom w:val="single" w:sz="6" w:space="0" w:color="777777"/>
                    <w:right w:val="single" w:sz="6" w:space="0" w:color="777777"/>
                  </w:tcBorders>
                  <w:shd w:val="clear" w:color="auto" w:fill="FFFFFF"/>
                  <w:tcMar>
                    <w:top w:w="35" w:type="dxa"/>
                    <w:left w:w="75" w:type="dxa"/>
                    <w:bottom w:w="35" w:type="dxa"/>
                    <w:right w:w="75" w:type="dxa"/>
                  </w:tcMar>
                </w:tcPr>
                <w:p w14:paraId="11A9C856" w14:textId="77777777" w:rsidR="00A0078C" w:rsidRDefault="00000000">
                  <w:pPr>
                    <w:spacing w:after="0"/>
                  </w:pPr>
                  <w:r>
                    <w:rPr>
                      <w:rFonts w:eastAsia="Arial" w:cs="Arial"/>
                      <w:sz w:val="20"/>
                    </w:rPr>
                    <w:t>Tuesdays and Thursdays</w:t>
                  </w:r>
                </w:p>
              </w:tc>
            </w:tr>
            <w:tr w:rsidR="00A0078C" w14:paraId="5060C43A" w14:textId="77777777">
              <w:trPr>
                <w:cantSplit/>
                <w:jc w:val="center"/>
              </w:trPr>
              <w:tc>
                <w:tcPr>
                  <w:tcW w:w="4513" w:type="dxa"/>
                  <w:tcBorders>
                    <w:top w:val="single" w:sz="6" w:space="0" w:color="777777"/>
                    <w:left w:val="single" w:sz="6" w:space="0" w:color="777777"/>
                    <w:bottom w:val="single" w:sz="6" w:space="0" w:color="777777"/>
                    <w:right w:val="single" w:sz="6" w:space="0" w:color="777777"/>
                  </w:tcBorders>
                  <w:shd w:val="clear" w:color="auto" w:fill="FFFFFF"/>
                  <w:tcMar>
                    <w:top w:w="35" w:type="dxa"/>
                    <w:left w:w="75" w:type="dxa"/>
                    <w:bottom w:w="35" w:type="dxa"/>
                    <w:right w:w="75" w:type="dxa"/>
                  </w:tcMar>
                </w:tcPr>
                <w:p w14:paraId="2D0D3446" w14:textId="77777777" w:rsidR="00A0078C" w:rsidRDefault="00000000">
                  <w:pPr>
                    <w:spacing w:after="0"/>
                  </w:pPr>
                  <w:r>
                    <w:rPr>
                      <w:rFonts w:eastAsia="Arial" w:cs="Arial"/>
                      <w:sz w:val="20"/>
                    </w:rPr>
                    <w:t>Section C</w:t>
                  </w:r>
                </w:p>
              </w:tc>
              <w:tc>
                <w:tcPr>
                  <w:tcW w:w="4513" w:type="dxa"/>
                  <w:tcBorders>
                    <w:top w:val="single" w:sz="6" w:space="0" w:color="777777"/>
                    <w:left w:val="single" w:sz="6" w:space="0" w:color="777777"/>
                    <w:bottom w:val="single" w:sz="6" w:space="0" w:color="777777"/>
                    <w:right w:val="single" w:sz="6" w:space="0" w:color="777777"/>
                  </w:tcBorders>
                  <w:shd w:val="clear" w:color="auto" w:fill="FFFFFF"/>
                  <w:tcMar>
                    <w:top w:w="35" w:type="dxa"/>
                    <w:left w:w="75" w:type="dxa"/>
                    <w:bottom w:w="35" w:type="dxa"/>
                    <w:right w:w="75" w:type="dxa"/>
                  </w:tcMar>
                </w:tcPr>
                <w:p w14:paraId="6E9B217E" w14:textId="77777777" w:rsidR="00A0078C" w:rsidRDefault="00000000">
                  <w:pPr>
                    <w:spacing w:after="0"/>
                  </w:pPr>
                  <w:r>
                    <w:rPr>
                      <w:rFonts w:eastAsia="Arial" w:cs="Arial"/>
                      <w:sz w:val="20"/>
                    </w:rPr>
                    <w:t>(virtual) Wednesdays and Fridays</w:t>
                  </w:r>
                </w:p>
              </w:tc>
            </w:tr>
          </w:tbl>
          <w:p w14:paraId="5973E1E0" w14:textId="77777777" w:rsidR="00A0078C" w:rsidRPr="0019185B" w:rsidRDefault="00000000" w:rsidP="0034177C">
            <w:pPr>
              <w:spacing w:before="240" w:after="0"/>
              <w:rPr>
                <w:u w:val="single"/>
              </w:rPr>
            </w:pPr>
            <w:r w:rsidRPr="0019185B">
              <w:rPr>
                <w:rFonts w:eastAsia="Arial" w:cs="Arial"/>
                <w:b/>
                <w:u w:val="single"/>
              </w:rPr>
              <w:t>Formulas</w:t>
            </w:r>
          </w:p>
          <w:p w14:paraId="4DAD388C" w14:textId="77777777" w:rsidR="00A0078C" w:rsidRDefault="00000000" w:rsidP="0034177C">
            <w:pPr>
              <w:spacing w:after="0"/>
            </w:pPr>
            <w:r>
              <w:rPr>
                <w:rFonts w:eastAsia="Arial" w:cs="Arial"/>
              </w:rPr>
              <w:t>Instructors will show students how to use basic spreadsheet formulas for business. Students should have basic spreadsheet skills before enrolling.</w:t>
            </w:r>
          </w:p>
          <w:tbl>
            <w:tblPr>
              <w:tblW w:w="0" w:type="auto"/>
              <w:jc w:val="center"/>
              <w:tblLayout w:type="fixed"/>
              <w:tblLook w:val="04A0" w:firstRow="1" w:lastRow="0" w:firstColumn="1" w:lastColumn="0" w:noHBand="0" w:noVBand="1"/>
            </w:tblPr>
            <w:tblGrid>
              <w:gridCol w:w="4513"/>
              <w:gridCol w:w="4513"/>
            </w:tblGrid>
            <w:tr w:rsidR="00A0078C" w14:paraId="2A4B48E1" w14:textId="77777777">
              <w:trPr>
                <w:cantSplit/>
                <w:jc w:val="center"/>
              </w:trPr>
              <w:tc>
                <w:tcPr>
                  <w:tcW w:w="4513" w:type="dxa"/>
                  <w:tcBorders>
                    <w:top w:val="single" w:sz="6" w:space="0" w:color="777777"/>
                    <w:left w:val="single" w:sz="6" w:space="0" w:color="777777"/>
                    <w:bottom w:val="single" w:sz="6" w:space="0" w:color="777777"/>
                    <w:right w:val="single" w:sz="6" w:space="0" w:color="777777"/>
                  </w:tcBorders>
                  <w:shd w:val="clear" w:color="auto" w:fill="FFFFFF"/>
                  <w:tcMar>
                    <w:top w:w="35" w:type="dxa"/>
                    <w:left w:w="75" w:type="dxa"/>
                    <w:bottom w:w="35" w:type="dxa"/>
                    <w:right w:w="75" w:type="dxa"/>
                  </w:tcMar>
                </w:tcPr>
                <w:p w14:paraId="095F3B77" w14:textId="77777777" w:rsidR="00A0078C" w:rsidRDefault="00000000">
                  <w:pPr>
                    <w:spacing w:after="0"/>
                  </w:pPr>
                  <w:r>
                    <w:rPr>
                      <w:rFonts w:eastAsia="Arial" w:cs="Arial"/>
                      <w:sz w:val="20"/>
                    </w:rPr>
                    <w:t>Section D</w:t>
                  </w:r>
                </w:p>
              </w:tc>
              <w:tc>
                <w:tcPr>
                  <w:tcW w:w="4513" w:type="dxa"/>
                  <w:tcBorders>
                    <w:top w:val="single" w:sz="6" w:space="0" w:color="777777"/>
                    <w:left w:val="single" w:sz="6" w:space="0" w:color="777777"/>
                    <w:bottom w:val="single" w:sz="6" w:space="0" w:color="777777"/>
                    <w:right w:val="single" w:sz="6" w:space="0" w:color="777777"/>
                  </w:tcBorders>
                  <w:shd w:val="clear" w:color="auto" w:fill="FFFFFF"/>
                  <w:tcMar>
                    <w:top w:w="35" w:type="dxa"/>
                    <w:left w:w="75" w:type="dxa"/>
                    <w:bottom w:w="35" w:type="dxa"/>
                    <w:right w:w="75" w:type="dxa"/>
                  </w:tcMar>
                </w:tcPr>
                <w:p w14:paraId="2578E739" w14:textId="77777777" w:rsidR="00A0078C" w:rsidRDefault="00000000">
                  <w:pPr>
                    <w:spacing w:after="0"/>
                  </w:pPr>
                  <w:r>
                    <w:rPr>
                      <w:rFonts w:eastAsia="Arial" w:cs="Arial"/>
                      <w:sz w:val="20"/>
                    </w:rPr>
                    <w:t>Tuesdays</w:t>
                  </w:r>
                </w:p>
              </w:tc>
            </w:tr>
            <w:tr w:rsidR="00A0078C" w14:paraId="7AA74749" w14:textId="77777777">
              <w:trPr>
                <w:cantSplit/>
                <w:jc w:val="center"/>
              </w:trPr>
              <w:tc>
                <w:tcPr>
                  <w:tcW w:w="4513" w:type="dxa"/>
                  <w:tcBorders>
                    <w:top w:val="single" w:sz="6" w:space="0" w:color="777777"/>
                    <w:left w:val="single" w:sz="6" w:space="0" w:color="777777"/>
                    <w:bottom w:val="single" w:sz="6" w:space="0" w:color="777777"/>
                    <w:right w:val="single" w:sz="6" w:space="0" w:color="777777"/>
                  </w:tcBorders>
                  <w:shd w:val="clear" w:color="auto" w:fill="FFFFFF"/>
                  <w:tcMar>
                    <w:top w:w="35" w:type="dxa"/>
                    <w:left w:w="75" w:type="dxa"/>
                    <w:bottom w:w="35" w:type="dxa"/>
                    <w:right w:w="75" w:type="dxa"/>
                  </w:tcMar>
                </w:tcPr>
                <w:p w14:paraId="2537AB0B" w14:textId="77777777" w:rsidR="00A0078C" w:rsidRDefault="00000000">
                  <w:pPr>
                    <w:spacing w:after="0"/>
                  </w:pPr>
                  <w:r>
                    <w:rPr>
                      <w:rFonts w:eastAsia="Arial" w:cs="Arial"/>
                      <w:sz w:val="20"/>
                    </w:rPr>
                    <w:t>Section E</w:t>
                  </w:r>
                </w:p>
              </w:tc>
              <w:tc>
                <w:tcPr>
                  <w:tcW w:w="4513" w:type="dxa"/>
                  <w:tcBorders>
                    <w:top w:val="single" w:sz="6" w:space="0" w:color="777777"/>
                    <w:left w:val="single" w:sz="6" w:space="0" w:color="777777"/>
                    <w:bottom w:val="single" w:sz="6" w:space="0" w:color="777777"/>
                    <w:right w:val="single" w:sz="6" w:space="0" w:color="777777"/>
                  </w:tcBorders>
                  <w:shd w:val="clear" w:color="auto" w:fill="FFFFFF"/>
                  <w:tcMar>
                    <w:top w:w="35" w:type="dxa"/>
                    <w:left w:w="75" w:type="dxa"/>
                    <w:bottom w:w="35" w:type="dxa"/>
                    <w:right w:w="75" w:type="dxa"/>
                  </w:tcMar>
                </w:tcPr>
                <w:p w14:paraId="63A98D86" w14:textId="77777777" w:rsidR="00A0078C" w:rsidRDefault="00000000">
                  <w:pPr>
                    <w:spacing w:after="0"/>
                  </w:pPr>
                  <w:r>
                    <w:rPr>
                      <w:rFonts w:eastAsia="Arial" w:cs="Arial"/>
                      <w:sz w:val="20"/>
                    </w:rPr>
                    <w:t>(virtual) Thursdays</w:t>
                  </w:r>
                </w:p>
              </w:tc>
            </w:tr>
          </w:tbl>
          <w:p w14:paraId="175A7EFD" w14:textId="77777777" w:rsidR="00A0078C" w:rsidRPr="0019185B" w:rsidRDefault="00000000" w:rsidP="0034177C">
            <w:pPr>
              <w:spacing w:before="240" w:after="0"/>
              <w:rPr>
                <w:u w:val="single"/>
              </w:rPr>
            </w:pPr>
            <w:r w:rsidRPr="0019185B">
              <w:rPr>
                <w:rFonts w:eastAsia="Arial" w:cs="Arial"/>
                <w:b/>
                <w:u w:val="single"/>
              </w:rPr>
              <w:t>Data Seminar</w:t>
            </w:r>
          </w:p>
          <w:p w14:paraId="05C67D64" w14:textId="77777777" w:rsidR="00A0078C" w:rsidRDefault="00000000" w:rsidP="0034177C">
            <w:pPr>
              <w:spacing w:after="0"/>
            </w:pPr>
            <w:r>
              <w:rPr>
                <w:rFonts w:eastAsia="Arial" w:cs="Arial"/>
              </w:rPr>
              <w:t>Taught by industry professionals, this course is for researchers who want to learn how to work with complex data.</w:t>
            </w:r>
          </w:p>
          <w:tbl>
            <w:tblPr>
              <w:tblW w:w="0" w:type="auto"/>
              <w:jc w:val="center"/>
              <w:tblLayout w:type="fixed"/>
              <w:tblLook w:val="04A0" w:firstRow="1" w:lastRow="0" w:firstColumn="1" w:lastColumn="0" w:noHBand="0" w:noVBand="1"/>
            </w:tblPr>
            <w:tblGrid>
              <w:gridCol w:w="4513"/>
              <w:gridCol w:w="4513"/>
            </w:tblGrid>
            <w:tr w:rsidR="00A0078C" w14:paraId="77BC3AE4" w14:textId="77777777">
              <w:trPr>
                <w:cantSplit/>
                <w:jc w:val="center"/>
              </w:trPr>
              <w:tc>
                <w:tcPr>
                  <w:tcW w:w="4513" w:type="dxa"/>
                  <w:tcBorders>
                    <w:top w:val="single" w:sz="6" w:space="0" w:color="777777"/>
                    <w:left w:val="single" w:sz="6" w:space="0" w:color="777777"/>
                    <w:bottom w:val="single" w:sz="6" w:space="0" w:color="777777"/>
                    <w:right w:val="single" w:sz="6" w:space="0" w:color="777777"/>
                  </w:tcBorders>
                  <w:shd w:val="clear" w:color="auto" w:fill="FFFFFF"/>
                  <w:tcMar>
                    <w:top w:w="35" w:type="dxa"/>
                    <w:left w:w="75" w:type="dxa"/>
                    <w:bottom w:w="35" w:type="dxa"/>
                    <w:right w:w="75" w:type="dxa"/>
                  </w:tcMar>
                </w:tcPr>
                <w:p w14:paraId="2AC511C3" w14:textId="77777777" w:rsidR="00A0078C" w:rsidRDefault="00000000" w:rsidP="0034177C">
                  <w:pPr>
                    <w:spacing w:after="0"/>
                  </w:pPr>
                  <w:r>
                    <w:rPr>
                      <w:rFonts w:eastAsia="Arial" w:cs="Arial"/>
                      <w:sz w:val="20"/>
                    </w:rPr>
                    <w:t>Section F</w:t>
                  </w:r>
                </w:p>
              </w:tc>
              <w:tc>
                <w:tcPr>
                  <w:tcW w:w="4513" w:type="dxa"/>
                  <w:tcBorders>
                    <w:top w:val="single" w:sz="6" w:space="0" w:color="777777"/>
                    <w:left w:val="single" w:sz="6" w:space="0" w:color="777777"/>
                    <w:bottom w:val="single" w:sz="6" w:space="0" w:color="777777"/>
                    <w:right w:val="single" w:sz="6" w:space="0" w:color="777777"/>
                  </w:tcBorders>
                  <w:shd w:val="clear" w:color="auto" w:fill="FFFFFF"/>
                  <w:tcMar>
                    <w:top w:w="35" w:type="dxa"/>
                    <w:left w:w="75" w:type="dxa"/>
                    <w:bottom w:w="35" w:type="dxa"/>
                    <w:right w:w="75" w:type="dxa"/>
                  </w:tcMar>
                </w:tcPr>
                <w:p w14:paraId="654734AA" w14:textId="77777777" w:rsidR="00A0078C" w:rsidRDefault="00000000" w:rsidP="0034177C">
                  <w:pPr>
                    <w:spacing w:after="0"/>
                  </w:pPr>
                  <w:r>
                    <w:rPr>
                      <w:rFonts w:eastAsia="Arial" w:cs="Arial"/>
                      <w:sz w:val="20"/>
                    </w:rPr>
                    <w:t>(virtual) Mondays</w:t>
                  </w:r>
                </w:p>
              </w:tc>
            </w:tr>
          </w:tbl>
          <w:p w14:paraId="48886240" w14:textId="77777777" w:rsidR="00A0078C" w:rsidRPr="0034177C" w:rsidRDefault="00000000" w:rsidP="0034177C">
            <w:pPr>
              <w:spacing w:before="240" w:after="0"/>
              <w:rPr>
                <w:u w:val="single"/>
              </w:rPr>
            </w:pPr>
            <w:r w:rsidRPr="0034177C">
              <w:rPr>
                <w:rFonts w:eastAsia="Arial" w:cs="Arial"/>
                <w:b/>
                <w:u w:val="single"/>
              </w:rPr>
              <w:t>Data Representation</w:t>
            </w:r>
          </w:p>
          <w:p w14:paraId="332E19A0" w14:textId="77777777" w:rsidR="00A0078C" w:rsidRDefault="00000000" w:rsidP="0034177C">
            <w:pPr>
              <w:spacing w:after="0"/>
            </w:pPr>
            <w:r>
              <w:rPr>
                <w:rFonts w:eastAsia="Arial" w:cs="Arial"/>
              </w:rPr>
              <w:t>This course is for analysts and researchers who need to show audiences easy-to-read graphs and charts.</w:t>
            </w:r>
          </w:p>
          <w:tbl>
            <w:tblPr>
              <w:tblW w:w="0" w:type="auto"/>
              <w:jc w:val="center"/>
              <w:tblLayout w:type="fixed"/>
              <w:tblLook w:val="04A0" w:firstRow="1" w:lastRow="0" w:firstColumn="1" w:lastColumn="0" w:noHBand="0" w:noVBand="1"/>
            </w:tblPr>
            <w:tblGrid>
              <w:gridCol w:w="4513"/>
              <w:gridCol w:w="4513"/>
            </w:tblGrid>
            <w:tr w:rsidR="00A0078C" w14:paraId="06873264" w14:textId="77777777">
              <w:trPr>
                <w:cantSplit/>
                <w:jc w:val="center"/>
              </w:trPr>
              <w:tc>
                <w:tcPr>
                  <w:tcW w:w="4513" w:type="dxa"/>
                  <w:tcBorders>
                    <w:top w:val="single" w:sz="6" w:space="0" w:color="777777"/>
                    <w:left w:val="single" w:sz="6" w:space="0" w:color="777777"/>
                    <w:bottom w:val="single" w:sz="6" w:space="0" w:color="777777"/>
                    <w:right w:val="single" w:sz="6" w:space="0" w:color="777777"/>
                  </w:tcBorders>
                  <w:shd w:val="clear" w:color="auto" w:fill="FFFFFF"/>
                  <w:tcMar>
                    <w:top w:w="35" w:type="dxa"/>
                    <w:left w:w="75" w:type="dxa"/>
                    <w:bottom w:w="35" w:type="dxa"/>
                    <w:right w:w="75" w:type="dxa"/>
                  </w:tcMar>
                </w:tcPr>
                <w:p w14:paraId="0A99E9F1" w14:textId="77777777" w:rsidR="00A0078C" w:rsidRDefault="00000000" w:rsidP="0034177C">
                  <w:pPr>
                    <w:spacing w:after="0"/>
                  </w:pPr>
                  <w:r>
                    <w:rPr>
                      <w:rFonts w:eastAsia="Arial" w:cs="Arial"/>
                      <w:sz w:val="20"/>
                    </w:rPr>
                    <w:t>Section G</w:t>
                  </w:r>
                </w:p>
              </w:tc>
              <w:tc>
                <w:tcPr>
                  <w:tcW w:w="4513" w:type="dxa"/>
                  <w:tcBorders>
                    <w:top w:val="single" w:sz="6" w:space="0" w:color="777777"/>
                    <w:left w:val="single" w:sz="6" w:space="0" w:color="777777"/>
                    <w:bottom w:val="single" w:sz="6" w:space="0" w:color="777777"/>
                    <w:right w:val="single" w:sz="6" w:space="0" w:color="777777"/>
                  </w:tcBorders>
                  <w:shd w:val="clear" w:color="auto" w:fill="FFFFFF"/>
                  <w:tcMar>
                    <w:top w:w="35" w:type="dxa"/>
                    <w:left w:w="75" w:type="dxa"/>
                    <w:bottom w:w="35" w:type="dxa"/>
                    <w:right w:w="75" w:type="dxa"/>
                  </w:tcMar>
                </w:tcPr>
                <w:p w14:paraId="4DB07BB8" w14:textId="77777777" w:rsidR="00A0078C" w:rsidRDefault="00000000" w:rsidP="0034177C">
                  <w:pPr>
                    <w:spacing w:after="0"/>
                  </w:pPr>
                  <w:r>
                    <w:rPr>
                      <w:rFonts w:eastAsia="Arial" w:cs="Arial"/>
                      <w:sz w:val="20"/>
                    </w:rPr>
                    <w:t>(virtual) Wednesdays</w:t>
                  </w:r>
                </w:p>
              </w:tc>
            </w:tr>
          </w:tbl>
          <w:p w14:paraId="4D41D126" w14:textId="77777777" w:rsidR="00A0078C" w:rsidRDefault="00A0078C">
            <w:pPr>
              <w:spacing w:after="20"/>
            </w:pPr>
          </w:p>
        </w:tc>
      </w:tr>
    </w:tbl>
    <w:p w14:paraId="5E843A60" w14:textId="77777777" w:rsidR="00A0078C" w:rsidRDefault="00000000">
      <w:pPr>
        <w:pStyle w:val="QuestionText"/>
        <w:spacing w:after="60"/>
      </w:pPr>
      <w:r>
        <w:rPr>
          <w:rFonts w:eastAsia="Arial" w:cs="Arial"/>
        </w:rPr>
        <w:t>25. Peter has no experience with spreadsheets and cannot attend class on Wednesdays. He should enroll in</w:t>
      </w:r>
    </w:p>
    <w:p w14:paraId="11C04AD2" w14:textId="77777777" w:rsidR="00A0078C" w:rsidRDefault="00000000">
      <w:pPr>
        <w:pStyle w:val="OptionText"/>
        <w:spacing w:after="20"/>
      </w:pPr>
      <w:r>
        <w:rPr>
          <w:rFonts w:eastAsia="Arial" w:cs="Arial"/>
        </w:rPr>
        <w:t>A. Section A</w:t>
      </w:r>
    </w:p>
    <w:p w14:paraId="19031AE1" w14:textId="77777777" w:rsidR="00A0078C" w:rsidRDefault="00000000">
      <w:pPr>
        <w:pStyle w:val="OptionText"/>
        <w:spacing w:after="20"/>
      </w:pPr>
      <w:r>
        <w:rPr>
          <w:rFonts w:eastAsia="Arial" w:cs="Arial"/>
        </w:rPr>
        <w:t>B. Section B</w:t>
      </w:r>
    </w:p>
    <w:p w14:paraId="272AF33F" w14:textId="77777777" w:rsidR="00A0078C" w:rsidRDefault="00000000">
      <w:pPr>
        <w:pStyle w:val="OptionText"/>
        <w:spacing w:after="20"/>
      </w:pPr>
      <w:r>
        <w:rPr>
          <w:rFonts w:eastAsia="Arial" w:cs="Arial"/>
        </w:rPr>
        <w:t>C. Section C</w:t>
      </w:r>
    </w:p>
    <w:p w14:paraId="35C272A2" w14:textId="77777777" w:rsidR="00A0078C" w:rsidRDefault="00000000">
      <w:pPr>
        <w:pStyle w:val="OptionText"/>
        <w:spacing w:after="100"/>
      </w:pPr>
      <w:r>
        <w:rPr>
          <w:rFonts w:eastAsia="Arial" w:cs="Arial"/>
        </w:rPr>
        <w:t>D. Section D</w:t>
      </w:r>
    </w:p>
    <w:p w14:paraId="7FB473E9" w14:textId="77777777" w:rsidR="00A0078C" w:rsidRDefault="00000000">
      <w:pPr>
        <w:pStyle w:val="QuestionText"/>
        <w:spacing w:after="60"/>
      </w:pPr>
      <w:r>
        <w:rPr>
          <w:rFonts w:eastAsia="Arial" w:cs="Arial"/>
        </w:rPr>
        <w:t>26. What does Michelle need before enrolling in Section D?</w:t>
      </w:r>
    </w:p>
    <w:p w14:paraId="48CFA14A" w14:textId="77777777" w:rsidR="00A0078C" w:rsidRDefault="00000000">
      <w:pPr>
        <w:pStyle w:val="OptionText"/>
        <w:spacing w:after="20"/>
      </w:pPr>
      <w:r>
        <w:rPr>
          <w:rFonts w:eastAsia="Arial" w:cs="Arial"/>
        </w:rPr>
        <w:t>A. Experience creating new spreadsheet formulas</w:t>
      </w:r>
    </w:p>
    <w:p w14:paraId="606B603C" w14:textId="77777777" w:rsidR="00A0078C" w:rsidRDefault="00000000">
      <w:pPr>
        <w:pStyle w:val="OptionText"/>
        <w:spacing w:after="20"/>
      </w:pPr>
      <w:r>
        <w:rPr>
          <w:rFonts w:eastAsia="Arial" w:cs="Arial"/>
        </w:rPr>
        <w:t>B. A research position that requires creating formulas</w:t>
      </w:r>
    </w:p>
    <w:p w14:paraId="1257BB29" w14:textId="77777777" w:rsidR="00A0078C" w:rsidRDefault="00000000">
      <w:pPr>
        <w:pStyle w:val="OptionText"/>
        <w:spacing w:after="20"/>
      </w:pPr>
      <w:r>
        <w:rPr>
          <w:rFonts w:eastAsia="Arial" w:cs="Arial"/>
        </w:rPr>
        <w:t>C. Training in how to present complex data</w:t>
      </w:r>
    </w:p>
    <w:p w14:paraId="4AB3D3CF" w14:textId="77777777" w:rsidR="00A0078C" w:rsidRDefault="00000000">
      <w:pPr>
        <w:pStyle w:val="OptionText"/>
        <w:spacing w:after="100"/>
      </w:pPr>
      <w:r>
        <w:rPr>
          <w:rFonts w:eastAsia="Arial" w:cs="Arial"/>
        </w:rPr>
        <w:t>D. Previous experience using spreadsheets</w:t>
      </w:r>
    </w:p>
    <w:p w14:paraId="6FD183B6" w14:textId="77777777" w:rsidR="00A0078C" w:rsidRDefault="00000000">
      <w:pPr>
        <w:pStyle w:val="QuestionText"/>
        <w:spacing w:after="60"/>
      </w:pPr>
      <w:r>
        <w:rPr>
          <w:rFonts w:eastAsia="Arial" w:cs="Arial"/>
        </w:rPr>
        <w:t>27. Beth has worked with formulas for years and is ready to learn advanced data skills. She should enroll in</w:t>
      </w:r>
    </w:p>
    <w:p w14:paraId="53B6E350" w14:textId="77777777" w:rsidR="00A0078C" w:rsidRDefault="00000000">
      <w:pPr>
        <w:pStyle w:val="OptionText"/>
        <w:spacing w:after="20"/>
      </w:pPr>
      <w:r>
        <w:rPr>
          <w:rFonts w:eastAsia="Arial" w:cs="Arial"/>
        </w:rPr>
        <w:t>A. Section A, B, or C</w:t>
      </w:r>
    </w:p>
    <w:p w14:paraId="2A3B5A31" w14:textId="77777777" w:rsidR="00A0078C" w:rsidRDefault="00000000">
      <w:pPr>
        <w:pStyle w:val="OptionText"/>
        <w:spacing w:after="20"/>
      </w:pPr>
      <w:r>
        <w:rPr>
          <w:rFonts w:eastAsia="Arial" w:cs="Arial"/>
        </w:rPr>
        <w:t>B. Section D or E</w:t>
      </w:r>
    </w:p>
    <w:p w14:paraId="41FFD361" w14:textId="77777777" w:rsidR="00A0078C" w:rsidRDefault="00000000">
      <w:pPr>
        <w:pStyle w:val="OptionText"/>
        <w:spacing w:after="20"/>
      </w:pPr>
      <w:r>
        <w:rPr>
          <w:rFonts w:eastAsia="Arial" w:cs="Arial"/>
        </w:rPr>
        <w:t>C. Section F</w:t>
      </w:r>
    </w:p>
    <w:p w14:paraId="0E5D1851" w14:textId="77777777" w:rsidR="00A0078C" w:rsidRDefault="00000000">
      <w:pPr>
        <w:pStyle w:val="OptionText"/>
        <w:spacing w:after="100"/>
      </w:pPr>
      <w:r>
        <w:rPr>
          <w:rFonts w:eastAsia="Arial" w:cs="Arial"/>
        </w:rPr>
        <w:t>D. Section G</w:t>
      </w:r>
    </w:p>
    <w:p w14:paraId="247A9A5E" w14:textId="77777777" w:rsidR="00A0078C" w:rsidRDefault="00000000">
      <w:pPr>
        <w:pStyle w:val="Instruction"/>
        <w:spacing w:after="80"/>
      </w:pPr>
      <w:r>
        <w:rPr>
          <w:rFonts w:eastAsia="Arial" w:cs="Arial"/>
        </w:rPr>
        <w:lastRenderedPageBreak/>
        <w:t>Read an agenda.</w:t>
      </w:r>
    </w:p>
    <w:tbl>
      <w:tblPr>
        <w:tblW w:w="0" w:type="auto"/>
        <w:jc w:val="center"/>
        <w:tblLayout w:type="fixed"/>
        <w:tblLook w:val="04A0" w:firstRow="1" w:lastRow="0" w:firstColumn="1" w:lastColumn="0" w:noHBand="0" w:noVBand="1"/>
      </w:tblPr>
      <w:tblGrid>
        <w:gridCol w:w="9026"/>
      </w:tblGrid>
      <w:tr w:rsidR="00A0078C" w14:paraId="7EFD9483" w14:textId="77777777">
        <w:trPr>
          <w:cantSplit/>
          <w:jc w:val="center"/>
        </w:trPr>
        <w:tc>
          <w:tcPr>
            <w:tcW w:w="9026" w:type="dxa"/>
            <w:tcBorders>
              <w:top w:val="single" w:sz="8" w:space="0" w:color="8A7A55"/>
              <w:left w:val="single" w:sz="8" w:space="0" w:color="8A7A55"/>
              <w:bottom w:val="single" w:sz="8" w:space="0" w:color="8A7A55"/>
              <w:right w:val="single" w:sz="8" w:space="0" w:color="8A7A55"/>
            </w:tcBorders>
            <w:shd w:val="clear" w:color="auto" w:fill="F3E6C7"/>
            <w:tcMar>
              <w:top w:w="90" w:type="dxa"/>
              <w:left w:w="120" w:type="dxa"/>
              <w:bottom w:w="90" w:type="dxa"/>
              <w:right w:w="120" w:type="dxa"/>
            </w:tcMar>
          </w:tcPr>
          <w:p w14:paraId="0E80D1CE" w14:textId="77777777" w:rsidR="00A0078C" w:rsidRDefault="00000000">
            <w:pPr>
              <w:spacing w:after="0"/>
            </w:pPr>
            <w:r>
              <w:rPr>
                <w:rFonts w:eastAsia="Arial" w:cs="Arial"/>
                <w:b/>
              </w:rPr>
              <w:t>Study Abroad Expo</w:t>
            </w:r>
            <w:r>
              <w:rPr>
                <w:rFonts w:eastAsia="Arial" w:cs="Arial"/>
                <w:b/>
              </w:rPr>
              <w:br/>
              <w:t>- Session Schedule</w:t>
            </w:r>
          </w:p>
        </w:tc>
      </w:tr>
      <w:tr w:rsidR="00A0078C" w14:paraId="43CC2E5E" w14:textId="77777777">
        <w:trPr>
          <w:cantSplit/>
          <w:jc w:val="center"/>
        </w:trPr>
        <w:tc>
          <w:tcPr>
            <w:tcW w:w="9026" w:type="dxa"/>
            <w:tcBorders>
              <w:top w:val="single" w:sz="8" w:space="0" w:color="8A7A55"/>
              <w:left w:val="single" w:sz="8" w:space="0" w:color="8A7A55"/>
              <w:bottom w:val="single" w:sz="8" w:space="0" w:color="8A7A55"/>
              <w:right w:val="single" w:sz="8" w:space="0" w:color="8A7A55"/>
            </w:tcBorders>
            <w:shd w:val="clear" w:color="auto" w:fill="FFFFFF"/>
            <w:tcMar>
              <w:top w:w="90" w:type="dxa"/>
              <w:left w:w="120" w:type="dxa"/>
              <w:bottom w:w="90" w:type="dxa"/>
              <w:right w:w="120" w:type="dxa"/>
            </w:tcMar>
          </w:tcPr>
          <w:p w14:paraId="61376D22" w14:textId="7ECD182C" w:rsidR="00A0078C" w:rsidRDefault="00A0078C">
            <w:pPr>
              <w:spacing w:after="0"/>
            </w:pPr>
          </w:p>
          <w:tbl>
            <w:tblPr>
              <w:tblW w:w="9026" w:type="dxa"/>
              <w:jc w:val="center"/>
              <w:tblLayout w:type="fixed"/>
              <w:tblLook w:val="04A0" w:firstRow="1" w:lastRow="0" w:firstColumn="1" w:lastColumn="0" w:noHBand="0" w:noVBand="1"/>
            </w:tblPr>
            <w:tblGrid>
              <w:gridCol w:w="1853"/>
              <w:gridCol w:w="7173"/>
            </w:tblGrid>
            <w:tr w:rsidR="00A0078C" w14:paraId="7C41D8CA" w14:textId="77777777" w:rsidTr="002C4CB7">
              <w:trPr>
                <w:cantSplit/>
                <w:jc w:val="center"/>
              </w:trPr>
              <w:tc>
                <w:tcPr>
                  <w:tcW w:w="1853" w:type="dxa"/>
                  <w:tcBorders>
                    <w:top w:val="single" w:sz="4" w:space="0" w:color="D1C6A8"/>
                    <w:left w:val="single" w:sz="4" w:space="0" w:color="D1C6A8"/>
                    <w:bottom w:val="single" w:sz="4" w:space="0" w:color="D1C6A8"/>
                    <w:right w:val="single" w:sz="4" w:space="0" w:color="D1C6A8"/>
                  </w:tcBorders>
                  <w:shd w:val="clear" w:color="auto" w:fill="FFFFFF"/>
                  <w:tcMar>
                    <w:top w:w="55" w:type="dxa"/>
                    <w:left w:w="70" w:type="dxa"/>
                    <w:bottom w:w="55" w:type="dxa"/>
                    <w:right w:w="70" w:type="dxa"/>
                  </w:tcMar>
                </w:tcPr>
                <w:p w14:paraId="2662A1D2" w14:textId="77777777" w:rsidR="00A0078C" w:rsidRDefault="00000000">
                  <w:pPr>
                    <w:spacing w:after="0"/>
                  </w:pPr>
                  <w:r>
                    <w:rPr>
                      <w:rFonts w:eastAsia="Arial" w:cs="Arial"/>
                      <w:b/>
                      <w:sz w:val="20"/>
                    </w:rPr>
                    <w:t>9:00 A.M.</w:t>
                  </w:r>
                </w:p>
              </w:tc>
              <w:tc>
                <w:tcPr>
                  <w:tcW w:w="7173" w:type="dxa"/>
                  <w:tcBorders>
                    <w:top w:val="single" w:sz="4" w:space="0" w:color="D1C6A8"/>
                    <w:left w:val="single" w:sz="4" w:space="0" w:color="D1C6A8"/>
                    <w:bottom w:val="single" w:sz="4" w:space="0" w:color="D1C6A8"/>
                    <w:right w:val="single" w:sz="4" w:space="0" w:color="D1C6A8"/>
                  </w:tcBorders>
                  <w:shd w:val="clear" w:color="auto" w:fill="FFFFFF"/>
                  <w:tcMar>
                    <w:top w:w="55" w:type="dxa"/>
                    <w:left w:w="70" w:type="dxa"/>
                    <w:bottom w:w="55" w:type="dxa"/>
                    <w:right w:w="70" w:type="dxa"/>
                  </w:tcMar>
                </w:tcPr>
                <w:p w14:paraId="30E6C16B" w14:textId="77777777" w:rsidR="00A0078C" w:rsidRDefault="00000000">
                  <w:pPr>
                    <w:spacing w:after="20"/>
                  </w:pPr>
                  <w:r>
                    <w:rPr>
                      <w:rFonts w:eastAsia="Arial" w:cs="Arial"/>
                      <w:b/>
                      <w:sz w:val="20"/>
                    </w:rPr>
                    <w:t xml:space="preserve">Keynote: “Futures in Global Education” </w:t>
                  </w:r>
                  <w:r>
                    <w:rPr>
                      <w:rFonts w:eastAsia="Arial" w:cs="Arial"/>
                      <w:sz w:val="20"/>
                    </w:rPr>
                    <w:t>An in-depth exploration of the evolving landscape of international study opportunities.</w:t>
                  </w:r>
                </w:p>
                <w:p w14:paraId="1F96EE54" w14:textId="77777777" w:rsidR="00A0078C" w:rsidRDefault="00000000">
                  <w:pPr>
                    <w:spacing w:after="0"/>
                  </w:pPr>
                  <w:r>
                    <w:rPr>
                      <w:rFonts w:eastAsia="Arial" w:cs="Arial"/>
                      <w:i/>
                      <w:sz w:val="20"/>
                    </w:rPr>
                    <w:t xml:space="preserve">Presenter: </w:t>
                  </w:r>
                  <w:r>
                    <w:rPr>
                      <w:rFonts w:eastAsia="Arial" w:cs="Arial"/>
                      <w:sz w:val="20"/>
                    </w:rPr>
                    <w:t>Education futurist Dr. Laura Kim</w:t>
                  </w:r>
                </w:p>
              </w:tc>
            </w:tr>
            <w:tr w:rsidR="00A0078C" w14:paraId="0B7CFE8D" w14:textId="77777777" w:rsidTr="002C4CB7">
              <w:trPr>
                <w:cantSplit/>
                <w:jc w:val="center"/>
              </w:trPr>
              <w:tc>
                <w:tcPr>
                  <w:tcW w:w="1853" w:type="dxa"/>
                  <w:tcBorders>
                    <w:top w:val="single" w:sz="4" w:space="0" w:color="D1C6A8"/>
                    <w:left w:val="single" w:sz="4" w:space="0" w:color="D1C6A8"/>
                    <w:bottom w:val="single" w:sz="4" w:space="0" w:color="D1C6A8"/>
                    <w:right w:val="single" w:sz="4" w:space="0" w:color="D1C6A8"/>
                  </w:tcBorders>
                  <w:shd w:val="clear" w:color="auto" w:fill="FFFFFF"/>
                  <w:tcMar>
                    <w:top w:w="55" w:type="dxa"/>
                    <w:left w:w="70" w:type="dxa"/>
                    <w:bottom w:w="55" w:type="dxa"/>
                    <w:right w:w="70" w:type="dxa"/>
                  </w:tcMar>
                </w:tcPr>
                <w:p w14:paraId="0526BA24" w14:textId="77777777" w:rsidR="00A0078C" w:rsidRDefault="00000000">
                  <w:pPr>
                    <w:spacing w:after="0"/>
                  </w:pPr>
                  <w:r>
                    <w:rPr>
                      <w:rFonts w:eastAsia="Arial" w:cs="Arial"/>
                      <w:b/>
                      <w:sz w:val="20"/>
                    </w:rPr>
                    <w:t>10:30 A.M.</w:t>
                  </w:r>
                </w:p>
              </w:tc>
              <w:tc>
                <w:tcPr>
                  <w:tcW w:w="7173" w:type="dxa"/>
                  <w:tcBorders>
                    <w:top w:val="single" w:sz="4" w:space="0" w:color="D1C6A8"/>
                    <w:left w:val="single" w:sz="4" w:space="0" w:color="D1C6A8"/>
                    <w:bottom w:val="single" w:sz="4" w:space="0" w:color="D1C6A8"/>
                    <w:right w:val="single" w:sz="4" w:space="0" w:color="D1C6A8"/>
                  </w:tcBorders>
                  <w:shd w:val="clear" w:color="auto" w:fill="FFFFFF"/>
                  <w:tcMar>
                    <w:top w:w="55" w:type="dxa"/>
                    <w:left w:w="70" w:type="dxa"/>
                    <w:bottom w:w="55" w:type="dxa"/>
                    <w:right w:w="70" w:type="dxa"/>
                  </w:tcMar>
                </w:tcPr>
                <w:p w14:paraId="39BFBB30" w14:textId="77777777" w:rsidR="00A0078C" w:rsidRDefault="00000000">
                  <w:pPr>
                    <w:spacing w:after="20"/>
                  </w:pPr>
                  <w:r>
                    <w:rPr>
                      <w:rFonts w:eastAsia="Arial" w:cs="Arial"/>
                      <w:b/>
                      <w:sz w:val="20"/>
                    </w:rPr>
                    <w:t xml:space="preserve">Panel: “Sustainable Study Abroad” </w:t>
                  </w:r>
                  <w:r>
                    <w:rPr>
                      <w:rFonts w:eastAsia="Arial" w:cs="Arial"/>
                      <w:sz w:val="20"/>
                    </w:rPr>
                    <w:t>A discussion between university leaders and environmental advocates on best practices for eco-conscious student programs abroad.</w:t>
                  </w:r>
                </w:p>
              </w:tc>
            </w:tr>
            <w:tr w:rsidR="00A0078C" w14:paraId="0BA8728C" w14:textId="77777777" w:rsidTr="002C4CB7">
              <w:trPr>
                <w:cantSplit/>
                <w:jc w:val="center"/>
              </w:trPr>
              <w:tc>
                <w:tcPr>
                  <w:tcW w:w="1853" w:type="dxa"/>
                  <w:tcBorders>
                    <w:top w:val="single" w:sz="4" w:space="0" w:color="D1C6A8"/>
                    <w:left w:val="single" w:sz="4" w:space="0" w:color="D1C6A8"/>
                    <w:bottom w:val="single" w:sz="4" w:space="0" w:color="D1C6A8"/>
                    <w:right w:val="single" w:sz="4" w:space="0" w:color="D1C6A8"/>
                  </w:tcBorders>
                  <w:shd w:val="clear" w:color="auto" w:fill="FFFFFF"/>
                  <w:tcMar>
                    <w:top w:w="55" w:type="dxa"/>
                    <w:left w:w="70" w:type="dxa"/>
                    <w:bottom w:w="55" w:type="dxa"/>
                    <w:right w:w="70" w:type="dxa"/>
                  </w:tcMar>
                </w:tcPr>
                <w:p w14:paraId="553E2018" w14:textId="77777777" w:rsidR="00A0078C" w:rsidRDefault="00000000">
                  <w:pPr>
                    <w:spacing w:after="0"/>
                  </w:pPr>
                  <w:r>
                    <w:rPr>
                      <w:rFonts w:eastAsia="Arial" w:cs="Arial"/>
                      <w:b/>
                      <w:sz w:val="20"/>
                    </w:rPr>
                    <w:t>12:00 P.M.</w:t>
                  </w:r>
                </w:p>
              </w:tc>
              <w:tc>
                <w:tcPr>
                  <w:tcW w:w="7173" w:type="dxa"/>
                  <w:tcBorders>
                    <w:top w:val="single" w:sz="4" w:space="0" w:color="D1C6A8"/>
                    <w:left w:val="single" w:sz="4" w:space="0" w:color="D1C6A8"/>
                    <w:bottom w:val="single" w:sz="4" w:space="0" w:color="D1C6A8"/>
                    <w:right w:val="single" w:sz="4" w:space="0" w:color="D1C6A8"/>
                  </w:tcBorders>
                  <w:shd w:val="clear" w:color="auto" w:fill="FFFFFF"/>
                  <w:tcMar>
                    <w:top w:w="55" w:type="dxa"/>
                    <w:left w:w="70" w:type="dxa"/>
                    <w:bottom w:w="55" w:type="dxa"/>
                    <w:right w:w="70" w:type="dxa"/>
                  </w:tcMar>
                </w:tcPr>
                <w:p w14:paraId="4B620D63" w14:textId="77777777" w:rsidR="00A0078C" w:rsidRDefault="00000000">
                  <w:pPr>
                    <w:spacing w:after="20"/>
                  </w:pPr>
                  <w:r>
                    <w:rPr>
                      <w:rFonts w:eastAsia="Arial" w:cs="Arial"/>
                      <w:b/>
                      <w:sz w:val="20"/>
                    </w:rPr>
                    <w:t xml:space="preserve">Networking Lunch </w:t>
                  </w:r>
                  <w:r>
                    <w:rPr>
                      <w:rFonts w:eastAsia="Arial" w:cs="Arial"/>
                      <w:sz w:val="20"/>
                    </w:rPr>
                    <w:t>An opportunity for students to connect with peers, alumni, and program coordinators to exchange insights on study abroad experiences.</w:t>
                  </w:r>
                </w:p>
              </w:tc>
            </w:tr>
            <w:tr w:rsidR="00A0078C" w14:paraId="58E2F1FB" w14:textId="77777777" w:rsidTr="002C4CB7">
              <w:trPr>
                <w:cantSplit/>
                <w:jc w:val="center"/>
              </w:trPr>
              <w:tc>
                <w:tcPr>
                  <w:tcW w:w="1853" w:type="dxa"/>
                  <w:tcBorders>
                    <w:top w:val="single" w:sz="4" w:space="0" w:color="D1C6A8"/>
                    <w:left w:val="single" w:sz="4" w:space="0" w:color="D1C6A8"/>
                    <w:bottom w:val="single" w:sz="4" w:space="0" w:color="D1C6A8"/>
                    <w:right w:val="single" w:sz="4" w:space="0" w:color="D1C6A8"/>
                  </w:tcBorders>
                  <w:shd w:val="clear" w:color="auto" w:fill="FFFFFF"/>
                  <w:tcMar>
                    <w:top w:w="55" w:type="dxa"/>
                    <w:left w:w="70" w:type="dxa"/>
                    <w:bottom w:w="55" w:type="dxa"/>
                    <w:right w:w="70" w:type="dxa"/>
                  </w:tcMar>
                </w:tcPr>
                <w:p w14:paraId="583F27B2" w14:textId="77777777" w:rsidR="00A0078C" w:rsidRDefault="00000000">
                  <w:pPr>
                    <w:spacing w:after="0"/>
                  </w:pPr>
                  <w:r>
                    <w:rPr>
                      <w:rFonts w:eastAsia="Arial" w:cs="Arial"/>
                      <w:b/>
                      <w:sz w:val="20"/>
                    </w:rPr>
                    <w:t>1:30 P.M.</w:t>
                  </w:r>
                </w:p>
              </w:tc>
              <w:tc>
                <w:tcPr>
                  <w:tcW w:w="7173" w:type="dxa"/>
                  <w:tcBorders>
                    <w:top w:val="single" w:sz="4" w:space="0" w:color="D1C6A8"/>
                    <w:left w:val="single" w:sz="4" w:space="0" w:color="D1C6A8"/>
                    <w:bottom w:val="single" w:sz="4" w:space="0" w:color="D1C6A8"/>
                    <w:right w:val="single" w:sz="4" w:space="0" w:color="D1C6A8"/>
                  </w:tcBorders>
                  <w:shd w:val="clear" w:color="auto" w:fill="FFFFFF"/>
                  <w:tcMar>
                    <w:top w:w="55" w:type="dxa"/>
                    <w:left w:w="70" w:type="dxa"/>
                    <w:bottom w:w="55" w:type="dxa"/>
                    <w:right w:w="70" w:type="dxa"/>
                  </w:tcMar>
                </w:tcPr>
                <w:p w14:paraId="09E2B268" w14:textId="77777777" w:rsidR="00A0078C" w:rsidRDefault="00000000">
                  <w:pPr>
                    <w:spacing w:after="20"/>
                  </w:pPr>
                  <w:r>
                    <w:rPr>
                      <w:rFonts w:eastAsia="Arial" w:cs="Arial"/>
                      <w:b/>
                      <w:sz w:val="20"/>
                    </w:rPr>
                    <w:t xml:space="preserve">Workshop: “Digital Tools for Global Learning” </w:t>
                  </w:r>
                  <w:r>
                    <w:rPr>
                      <w:rFonts w:eastAsia="Arial" w:cs="Arial"/>
                      <w:sz w:val="20"/>
                    </w:rPr>
                    <w:t>An interactive session focusing on advanced strategies for using digital platforms to enhance study abroad success and cross-cultural engagement.</w:t>
                  </w:r>
                </w:p>
              </w:tc>
            </w:tr>
            <w:tr w:rsidR="00A0078C" w14:paraId="3FFC3871" w14:textId="77777777" w:rsidTr="002C4CB7">
              <w:trPr>
                <w:cantSplit/>
                <w:jc w:val="center"/>
              </w:trPr>
              <w:tc>
                <w:tcPr>
                  <w:tcW w:w="1853" w:type="dxa"/>
                  <w:tcBorders>
                    <w:top w:val="single" w:sz="4" w:space="0" w:color="D1C6A8"/>
                    <w:left w:val="single" w:sz="4" w:space="0" w:color="D1C6A8"/>
                    <w:bottom w:val="single" w:sz="4" w:space="0" w:color="D1C6A8"/>
                    <w:right w:val="single" w:sz="4" w:space="0" w:color="D1C6A8"/>
                  </w:tcBorders>
                  <w:shd w:val="clear" w:color="auto" w:fill="FFFFFF"/>
                  <w:tcMar>
                    <w:top w:w="55" w:type="dxa"/>
                    <w:left w:w="70" w:type="dxa"/>
                    <w:bottom w:w="55" w:type="dxa"/>
                    <w:right w:w="70" w:type="dxa"/>
                  </w:tcMar>
                </w:tcPr>
                <w:p w14:paraId="156A1EDA" w14:textId="77777777" w:rsidR="00A0078C" w:rsidRDefault="00000000">
                  <w:pPr>
                    <w:spacing w:after="0"/>
                  </w:pPr>
                  <w:r>
                    <w:rPr>
                      <w:rFonts w:eastAsia="Arial" w:cs="Arial"/>
                      <w:b/>
                      <w:sz w:val="20"/>
                    </w:rPr>
                    <w:t>3:00 P.M.</w:t>
                  </w:r>
                </w:p>
              </w:tc>
              <w:tc>
                <w:tcPr>
                  <w:tcW w:w="7173" w:type="dxa"/>
                  <w:tcBorders>
                    <w:top w:val="single" w:sz="4" w:space="0" w:color="D1C6A8"/>
                    <w:left w:val="single" w:sz="4" w:space="0" w:color="D1C6A8"/>
                    <w:bottom w:val="single" w:sz="4" w:space="0" w:color="D1C6A8"/>
                    <w:right w:val="single" w:sz="4" w:space="0" w:color="D1C6A8"/>
                  </w:tcBorders>
                  <w:shd w:val="clear" w:color="auto" w:fill="FFFFFF"/>
                  <w:tcMar>
                    <w:top w:w="55" w:type="dxa"/>
                    <w:left w:w="70" w:type="dxa"/>
                    <w:bottom w:w="55" w:type="dxa"/>
                    <w:right w:w="70" w:type="dxa"/>
                  </w:tcMar>
                </w:tcPr>
                <w:p w14:paraId="232E3D8E" w14:textId="77777777" w:rsidR="00A0078C" w:rsidRDefault="00000000">
                  <w:pPr>
                    <w:spacing w:after="20"/>
                  </w:pPr>
                  <w:r>
                    <w:rPr>
                      <w:rFonts w:eastAsia="Arial" w:cs="Arial"/>
                      <w:b/>
                      <w:sz w:val="20"/>
                    </w:rPr>
                    <w:t xml:space="preserve">Destination Focus: The Andes </w:t>
                  </w:r>
                  <w:r>
                    <w:rPr>
                      <w:rFonts w:eastAsia="Arial" w:cs="Arial"/>
                      <w:sz w:val="20"/>
                    </w:rPr>
                    <w:t>An exploration of study abroad opportunities in the Andes region, emphasizing cultural immersion, language learning, and community engagement.</w:t>
                  </w:r>
                </w:p>
              </w:tc>
            </w:tr>
            <w:tr w:rsidR="00A0078C" w14:paraId="0C8BA712" w14:textId="77777777" w:rsidTr="002C4CB7">
              <w:trPr>
                <w:cantSplit/>
                <w:jc w:val="center"/>
              </w:trPr>
              <w:tc>
                <w:tcPr>
                  <w:tcW w:w="1853" w:type="dxa"/>
                  <w:tcBorders>
                    <w:top w:val="single" w:sz="4" w:space="0" w:color="D1C6A8"/>
                    <w:left w:val="single" w:sz="4" w:space="0" w:color="D1C6A8"/>
                    <w:bottom w:val="single" w:sz="4" w:space="0" w:color="D1C6A8"/>
                    <w:right w:val="single" w:sz="4" w:space="0" w:color="D1C6A8"/>
                  </w:tcBorders>
                  <w:shd w:val="clear" w:color="auto" w:fill="FFFFFF"/>
                  <w:tcMar>
                    <w:top w:w="55" w:type="dxa"/>
                    <w:left w:w="70" w:type="dxa"/>
                    <w:bottom w:w="55" w:type="dxa"/>
                    <w:right w:w="70" w:type="dxa"/>
                  </w:tcMar>
                </w:tcPr>
                <w:p w14:paraId="4A0E284F" w14:textId="77777777" w:rsidR="00A0078C" w:rsidRDefault="00000000">
                  <w:pPr>
                    <w:spacing w:after="0"/>
                  </w:pPr>
                  <w:r>
                    <w:rPr>
                      <w:rFonts w:eastAsia="Arial" w:cs="Arial"/>
                      <w:b/>
                      <w:sz w:val="20"/>
                    </w:rPr>
                    <w:t>4:30 P.M.</w:t>
                  </w:r>
                </w:p>
              </w:tc>
              <w:tc>
                <w:tcPr>
                  <w:tcW w:w="7173" w:type="dxa"/>
                  <w:tcBorders>
                    <w:top w:val="single" w:sz="4" w:space="0" w:color="D1C6A8"/>
                    <w:left w:val="single" w:sz="4" w:space="0" w:color="D1C6A8"/>
                    <w:bottom w:val="single" w:sz="4" w:space="0" w:color="D1C6A8"/>
                    <w:right w:val="single" w:sz="4" w:space="0" w:color="D1C6A8"/>
                  </w:tcBorders>
                  <w:shd w:val="clear" w:color="auto" w:fill="FFFFFF"/>
                  <w:tcMar>
                    <w:top w:w="55" w:type="dxa"/>
                    <w:left w:w="70" w:type="dxa"/>
                    <w:bottom w:w="55" w:type="dxa"/>
                    <w:right w:w="70" w:type="dxa"/>
                  </w:tcMar>
                </w:tcPr>
                <w:p w14:paraId="1C2D2FB3" w14:textId="77777777" w:rsidR="00A0078C" w:rsidRDefault="00000000">
                  <w:pPr>
                    <w:spacing w:after="20"/>
                  </w:pPr>
                  <w:r>
                    <w:rPr>
                      <w:rFonts w:eastAsia="Arial" w:cs="Arial"/>
                      <w:b/>
                      <w:sz w:val="20"/>
                    </w:rPr>
                    <w:t xml:space="preserve">Round Table: “Where We Are and Where We’re Going” </w:t>
                  </w:r>
                  <w:r>
                    <w:rPr>
                      <w:rFonts w:eastAsia="Arial" w:cs="Arial"/>
                      <w:sz w:val="20"/>
                    </w:rPr>
                    <w:t>A discussion of the day’s sessions, emphasizing trends and innovations in international education.</w:t>
                  </w:r>
                </w:p>
              </w:tc>
            </w:tr>
          </w:tbl>
          <w:p w14:paraId="64950420" w14:textId="77777777" w:rsidR="00A0078C" w:rsidRDefault="00A0078C"/>
        </w:tc>
      </w:tr>
    </w:tbl>
    <w:p w14:paraId="0B1BB7D3" w14:textId="77777777" w:rsidR="00A0078C" w:rsidRDefault="00000000">
      <w:pPr>
        <w:pStyle w:val="QuestionText"/>
        <w:spacing w:after="60"/>
      </w:pPr>
      <w:r>
        <w:rPr>
          <w:rFonts w:eastAsia="Arial" w:cs="Arial"/>
        </w:rPr>
        <w:t>28. What is the general aim of the Study Abroad Expo?</w:t>
      </w:r>
    </w:p>
    <w:p w14:paraId="4167CDCD" w14:textId="77777777" w:rsidR="00A0078C" w:rsidRDefault="00000000">
      <w:pPr>
        <w:pStyle w:val="OptionText"/>
        <w:spacing w:after="20"/>
      </w:pPr>
      <w:r>
        <w:rPr>
          <w:rFonts w:eastAsia="Arial" w:cs="Arial"/>
        </w:rPr>
        <w:t>A. To evaluate emerging risks in a variety of sectors in the field of global education</w:t>
      </w:r>
    </w:p>
    <w:p w14:paraId="464F1B7F" w14:textId="77777777" w:rsidR="00A0078C" w:rsidRDefault="00000000">
      <w:pPr>
        <w:pStyle w:val="OptionText"/>
        <w:spacing w:after="20"/>
      </w:pPr>
      <w:r>
        <w:rPr>
          <w:rFonts w:eastAsia="Arial" w:cs="Arial"/>
        </w:rPr>
        <w:t>B. To facilitate a deep understanding of opportunities for international learning</w:t>
      </w:r>
    </w:p>
    <w:p w14:paraId="63DEB1CC" w14:textId="77777777" w:rsidR="00A0078C" w:rsidRDefault="00000000">
      <w:pPr>
        <w:pStyle w:val="OptionText"/>
        <w:spacing w:after="20"/>
      </w:pPr>
      <w:r>
        <w:rPr>
          <w:rFonts w:eastAsia="Arial" w:cs="Arial"/>
        </w:rPr>
        <w:t>C. To highlight the historical significance of student exchange programs</w:t>
      </w:r>
    </w:p>
    <w:p w14:paraId="7157D711" w14:textId="77777777" w:rsidR="00A0078C" w:rsidRDefault="00000000">
      <w:pPr>
        <w:pStyle w:val="OptionText"/>
        <w:spacing w:after="100"/>
      </w:pPr>
      <w:r>
        <w:rPr>
          <w:rFonts w:eastAsia="Arial" w:cs="Arial"/>
        </w:rPr>
        <w:t>D. To promote the sale of travel-related merchandise intended for students</w:t>
      </w:r>
    </w:p>
    <w:p w14:paraId="51E29FF6" w14:textId="77777777" w:rsidR="00A0078C" w:rsidRDefault="00000000">
      <w:pPr>
        <w:pStyle w:val="QuestionText"/>
        <w:spacing w:after="60"/>
      </w:pPr>
      <w:r>
        <w:rPr>
          <w:rFonts w:eastAsia="Arial" w:cs="Arial"/>
        </w:rPr>
        <w:t>29. What is suggested about the Sustainable Study Abroad panel?</w:t>
      </w:r>
    </w:p>
    <w:p w14:paraId="7E1F72B6" w14:textId="77777777" w:rsidR="00A0078C" w:rsidRDefault="00000000">
      <w:pPr>
        <w:pStyle w:val="OptionText"/>
        <w:spacing w:after="20"/>
      </w:pPr>
      <w:r>
        <w:rPr>
          <w:rFonts w:eastAsia="Arial" w:cs="Arial"/>
        </w:rPr>
        <w:t>A. It will mainly address the costs of studying abroad for students.</w:t>
      </w:r>
    </w:p>
    <w:p w14:paraId="1780A1DC" w14:textId="77777777" w:rsidR="00A0078C" w:rsidRDefault="00000000">
      <w:pPr>
        <w:pStyle w:val="OptionText"/>
        <w:spacing w:after="20"/>
      </w:pPr>
      <w:r>
        <w:rPr>
          <w:rFonts w:eastAsia="Arial" w:cs="Arial"/>
        </w:rPr>
        <w:t>B. It will show the need to integrate eco-friendly practices into study abroad programs.</w:t>
      </w:r>
    </w:p>
    <w:p w14:paraId="3CCE4492" w14:textId="77777777" w:rsidR="00A0078C" w:rsidRDefault="00000000">
      <w:pPr>
        <w:pStyle w:val="OptionText"/>
        <w:spacing w:after="20"/>
      </w:pPr>
      <w:r>
        <w:rPr>
          <w:rFonts w:eastAsia="Arial" w:cs="Arial"/>
        </w:rPr>
        <w:t>C. It will examine the impact of studying abroad on student environmental consciousness.</w:t>
      </w:r>
    </w:p>
    <w:p w14:paraId="50297219" w14:textId="77777777" w:rsidR="00A0078C" w:rsidRDefault="00000000">
      <w:pPr>
        <w:pStyle w:val="OptionText"/>
        <w:spacing w:after="100"/>
      </w:pPr>
      <w:r>
        <w:rPr>
          <w:rFonts w:eastAsia="Arial" w:cs="Arial"/>
        </w:rPr>
        <w:t>D. It will primarily focus on the legal aspects of participating in study abroad programs.</w:t>
      </w:r>
    </w:p>
    <w:p w14:paraId="610B19D9" w14:textId="77777777" w:rsidR="00A0078C" w:rsidRDefault="00000000">
      <w:pPr>
        <w:pStyle w:val="QuestionText"/>
        <w:spacing w:after="60"/>
      </w:pPr>
      <w:r>
        <w:rPr>
          <w:rFonts w:eastAsia="Arial" w:cs="Arial"/>
        </w:rPr>
        <w:t>30. Which of the following aspects of study abroad programs might Dr. Kim’s keynote speech address?</w:t>
      </w:r>
    </w:p>
    <w:p w14:paraId="01EB81D6" w14:textId="77777777" w:rsidR="00A0078C" w:rsidRDefault="00000000">
      <w:pPr>
        <w:pStyle w:val="OptionText"/>
        <w:spacing w:after="20"/>
      </w:pPr>
      <w:r>
        <w:rPr>
          <w:rFonts w:eastAsia="Arial" w:cs="Arial"/>
        </w:rPr>
        <w:t>A. The possible influence of emerging technologies</w:t>
      </w:r>
    </w:p>
    <w:p w14:paraId="42E0A6B7" w14:textId="77777777" w:rsidR="00A0078C" w:rsidRDefault="00000000">
      <w:pPr>
        <w:pStyle w:val="OptionText"/>
        <w:spacing w:after="20"/>
      </w:pPr>
      <w:r>
        <w:rPr>
          <w:rFonts w:eastAsia="Arial" w:cs="Arial"/>
        </w:rPr>
        <w:t>B. Existing patterns of participation in study abroad programs</w:t>
      </w:r>
    </w:p>
    <w:p w14:paraId="3F688842" w14:textId="77777777" w:rsidR="00A0078C" w:rsidRDefault="00000000">
      <w:pPr>
        <w:pStyle w:val="OptionText"/>
        <w:spacing w:after="20"/>
      </w:pPr>
      <w:r>
        <w:rPr>
          <w:rFonts w:eastAsia="Arial" w:cs="Arial"/>
        </w:rPr>
        <w:t>C. The allure of traditional study abroad destinations</w:t>
      </w:r>
    </w:p>
    <w:p w14:paraId="28402B4A" w14:textId="77777777" w:rsidR="00A0078C" w:rsidRDefault="00000000">
      <w:pPr>
        <w:pStyle w:val="OptionText"/>
        <w:spacing w:after="100"/>
      </w:pPr>
      <w:r>
        <w:rPr>
          <w:rFonts w:eastAsia="Arial" w:cs="Arial"/>
        </w:rPr>
        <w:t>D. The benefits of current study abroad program policies</w:t>
      </w:r>
    </w:p>
    <w:p w14:paraId="40C96B28" w14:textId="77777777" w:rsidR="00A0078C" w:rsidRDefault="00000000">
      <w:r>
        <w:br w:type="page"/>
      </w:r>
    </w:p>
    <w:p w14:paraId="0A20BCFE" w14:textId="77777777" w:rsidR="00A0078C" w:rsidRDefault="00000000">
      <w:pPr>
        <w:pStyle w:val="TypeHeading"/>
        <w:spacing w:after="120"/>
      </w:pPr>
      <w:r>
        <w:rPr>
          <w:rFonts w:eastAsia="Arial" w:cs="Arial"/>
        </w:rPr>
        <w:lastRenderedPageBreak/>
        <w:t>Read an Academic Passage</w:t>
      </w:r>
    </w:p>
    <w:p w14:paraId="24FF1F7C" w14:textId="77777777" w:rsidR="00A0078C" w:rsidRDefault="00000000">
      <w:pPr>
        <w:pStyle w:val="MaterialTitle"/>
        <w:jc w:val="center"/>
      </w:pPr>
      <w:r>
        <w:rPr>
          <w:rFonts w:eastAsia="Arial" w:cs="Arial"/>
        </w:rPr>
        <w:t>Free Will and Determinism</w:t>
      </w:r>
    </w:p>
    <w:p w14:paraId="6A67AF43" w14:textId="77777777" w:rsidR="00A0078C" w:rsidRDefault="00000000">
      <w:pPr>
        <w:pStyle w:val="BodyText"/>
        <w:spacing w:after="100"/>
      </w:pPr>
      <w:r>
        <w:rPr>
          <w:rFonts w:eastAsia="Arial" w:cs="Arial"/>
        </w:rPr>
        <w:t xml:space="preserve">The debate over free will asks whether our decisions come from independent thought or are shaped by factors beyond our control. Although we may feel like we choose freely, influences such as genetics, upbringing, and unconscious habits suggest our freedom may be limited. The key question is whether these influences simply guide our choices or actually determine them. If they determine them, then </w:t>
      </w:r>
      <w:r>
        <w:rPr>
          <w:rFonts w:eastAsia="Arial" w:cs="Arial"/>
          <w:b/>
          <w:color w:val="FFFFFF"/>
          <w:shd w:val="clear" w:color="auto" w:fill="008C8C"/>
        </w:rPr>
        <w:t>our sense of control</w:t>
      </w:r>
      <w:r>
        <w:rPr>
          <w:rFonts w:eastAsia="Arial" w:cs="Arial"/>
        </w:rPr>
        <w:t xml:space="preserve"> may be more of a story we tell ourselves after the fact than something that drives our actions.</w:t>
      </w:r>
    </w:p>
    <w:p w14:paraId="26BB87AA" w14:textId="77777777" w:rsidR="00A0078C" w:rsidRDefault="00000000">
      <w:pPr>
        <w:pStyle w:val="BodyText"/>
        <w:spacing w:after="100"/>
      </w:pPr>
      <w:r>
        <w:rPr>
          <w:rFonts w:eastAsia="Arial" w:cs="Arial"/>
        </w:rPr>
        <w:t xml:space="preserve">Some philosophers maintain that even within a causally determined world, we can still act freely—so long as our choices reflect our own reasoning and desires. Yet this view raises questions about whether those desires are truly ours or merely the result of prior conditions. Others push further, suggesting that even our capacity to reflect on our actions is shaped by forces beyond our control, leaving little room for genuine autonomy. These tensions are not just theoretical; they shape how we think about responsibility in law, education, and relationships. If the assumption that someone might have acted differently begins to </w:t>
      </w:r>
      <w:r>
        <w:rPr>
          <w:rFonts w:eastAsia="Arial" w:cs="Arial"/>
          <w:b/>
          <w:color w:val="FFFFFF"/>
          <w:shd w:val="clear" w:color="auto" w:fill="008C8C"/>
        </w:rPr>
        <w:t>unravel</w:t>
      </w:r>
      <w:r>
        <w:rPr>
          <w:rFonts w:eastAsia="Arial" w:cs="Arial"/>
        </w:rPr>
        <w:t>, then our notions of accountability may need to be reimagined.</w:t>
      </w:r>
    </w:p>
    <w:p w14:paraId="035054EF" w14:textId="77777777" w:rsidR="00A0078C" w:rsidRDefault="00000000">
      <w:pPr>
        <w:pStyle w:val="QuestionText"/>
        <w:spacing w:after="60"/>
      </w:pPr>
      <w:r>
        <w:rPr>
          <w:rFonts w:eastAsia="Arial" w:cs="Arial"/>
        </w:rPr>
        <w:t>31. Why does the author mention genetics and upbringing in paragraph 1?</w:t>
      </w:r>
    </w:p>
    <w:p w14:paraId="3BD715F0" w14:textId="77777777" w:rsidR="00A0078C" w:rsidRDefault="00000000">
      <w:pPr>
        <w:pStyle w:val="OptionText"/>
        <w:spacing w:after="20"/>
      </w:pPr>
      <w:r>
        <w:rPr>
          <w:rFonts w:eastAsia="Arial" w:cs="Arial"/>
        </w:rPr>
        <w:t>A. To name the factors that contribute to the unconscious habits people form</w:t>
      </w:r>
    </w:p>
    <w:p w14:paraId="45716C1C" w14:textId="77777777" w:rsidR="00A0078C" w:rsidRDefault="00000000">
      <w:pPr>
        <w:pStyle w:val="OptionText"/>
        <w:spacing w:after="20"/>
      </w:pPr>
      <w:r>
        <w:rPr>
          <w:rFonts w:eastAsia="Arial" w:cs="Arial"/>
        </w:rPr>
        <w:t>B. To list factors we may be unaware of that shape our decision-making</w:t>
      </w:r>
    </w:p>
    <w:p w14:paraId="2B4D4970" w14:textId="77777777" w:rsidR="00A0078C" w:rsidRDefault="00000000">
      <w:pPr>
        <w:pStyle w:val="OptionText"/>
        <w:spacing w:after="20"/>
      </w:pPr>
      <w:r>
        <w:rPr>
          <w:rFonts w:eastAsia="Arial" w:cs="Arial"/>
        </w:rPr>
        <w:t>C. To argue that some people have more freedom to act than others do</w:t>
      </w:r>
    </w:p>
    <w:p w14:paraId="4F070A4E" w14:textId="77777777" w:rsidR="00A0078C" w:rsidRDefault="00000000">
      <w:pPr>
        <w:pStyle w:val="OptionText"/>
        <w:spacing w:after="100"/>
      </w:pPr>
      <w:r>
        <w:rPr>
          <w:rFonts w:eastAsia="Arial" w:cs="Arial"/>
        </w:rPr>
        <w:t>D. To note two factors that contribute to the formation of people’s personalities</w:t>
      </w:r>
    </w:p>
    <w:p w14:paraId="5C232A27" w14:textId="77777777" w:rsidR="00A0078C" w:rsidRDefault="00000000">
      <w:pPr>
        <w:pStyle w:val="QuestionText"/>
        <w:spacing w:after="60"/>
      </w:pPr>
      <w:r>
        <w:rPr>
          <w:rFonts w:eastAsia="Arial" w:cs="Arial"/>
        </w:rPr>
        <w:t>32. What does the author suggest may be true of “our sense of control” over our choices?</w:t>
      </w:r>
    </w:p>
    <w:p w14:paraId="4C14EF83" w14:textId="77777777" w:rsidR="00A0078C" w:rsidRDefault="00000000">
      <w:pPr>
        <w:pStyle w:val="OptionText"/>
        <w:spacing w:after="20"/>
      </w:pPr>
      <w:r>
        <w:rPr>
          <w:rFonts w:eastAsia="Arial" w:cs="Arial"/>
        </w:rPr>
        <w:t>A. It can drive our actions if we train ourselves to think independently.</w:t>
      </w:r>
    </w:p>
    <w:p w14:paraId="5A354A28" w14:textId="77777777" w:rsidR="00A0078C" w:rsidRDefault="00000000">
      <w:pPr>
        <w:pStyle w:val="OptionText"/>
        <w:spacing w:after="20"/>
      </w:pPr>
      <w:r>
        <w:rPr>
          <w:rFonts w:eastAsia="Arial" w:cs="Arial"/>
        </w:rPr>
        <w:t>B. It helps us develop narratives that shape our choices.</w:t>
      </w:r>
    </w:p>
    <w:p w14:paraId="496ACB01" w14:textId="77777777" w:rsidR="00A0078C" w:rsidRDefault="00000000">
      <w:pPr>
        <w:pStyle w:val="OptionText"/>
        <w:spacing w:after="20"/>
      </w:pPr>
      <w:r>
        <w:rPr>
          <w:rFonts w:eastAsia="Arial" w:cs="Arial"/>
        </w:rPr>
        <w:t>C. It is the product of unconscious habits.</w:t>
      </w:r>
    </w:p>
    <w:p w14:paraId="20FAC37A" w14:textId="77777777" w:rsidR="00A0078C" w:rsidRDefault="00000000">
      <w:pPr>
        <w:pStyle w:val="OptionText"/>
        <w:spacing w:after="100"/>
      </w:pPr>
      <w:r>
        <w:rPr>
          <w:rFonts w:eastAsia="Arial" w:cs="Arial"/>
        </w:rPr>
        <w:t>D. It is nothing more than an illusion.</w:t>
      </w:r>
    </w:p>
    <w:p w14:paraId="4F29D831" w14:textId="77777777" w:rsidR="00A0078C" w:rsidRDefault="00000000">
      <w:pPr>
        <w:pStyle w:val="QuestionText"/>
        <w:spacing w:after="60"/>
      </w:pPr>
      <w:r>
        <w:rPr>
          <w:rFonts w:eastAsia="Arial" w:cs="Arial"/>
        </w:rPr>
        <w:t>33. In the second paragraph, what is the relationship between sentence 1 and sentence 2?</w:t>
      </w:r>
    </w:p>
    <w:p w14:paraId="1357A479" w14:textId="77777777" w:rsidR="00A0078C" w:rsidRDefault="00000000">
      <w:pPr>
        <w:pStyle w:val="OptionText"/>
        <w:spacing w:after="20"/>
      </w:pPr>
      <w:r>
        <w:rPr>
          <w:rFonts w:eastAsia="Arial" w:cs="Arial"/>
        </w:rPr>
        <w:t>A. Sentence 1 presents an argument, and sentence 2 restates it in simpler terms.</w:t>
      </w:r>
    </w:p>
    <w:p w14:paraId="244D732D" w14:textId="77777777" w:rsidR="00A0078C" w:rsidRDefault="00000000">
      <w:pPr>
        <w:pStyle w:val="OptionText"/>
        <w:spacing w:after="20"/>
      </w:pPr>
      <w:r>
        <w:rPr>
          <w:rFonts w:eastAsia="Arial" w:cs="Arial"/>
        </w:rPr>
        <w:t>B. Sentence 1 makes a claim, and sentence 2 supports it with evidence.</w:t>
      </w:r>
    </w:p>
    <w:p w14:paraId="4A48482F" w14:textId="77777777" w:rsidR="00A0078C" w:rsidRDefault="00000000">
      <w:pPr>
        <w:pStyle w:val="OptionText"/>
        <w:spacing w:after="20"/>
      </w:pPr>
      <w:r>
        <w:rPr>
          <w:rFonts w:eastAsia="Arial" w:cs="Arial"/>
        </w:rPr>
        <w:t>C. Sentence 1 presents an idea, and sentence 2 challenges an assumption behind the idea.</w:t>
      </w:r>
    </w:p>
    <w:p w14:paraId="52060DD0" w14:textId="77777777" w:rsidR="00A0078C" w:rsidRDefault="00000000">
      <w:pPr>
        <w:pStyle w:val="OptionText"/>
        <w:spacing w:after="100"/>
      </w:pPr>
      <w:r>
        <w:rPr>
          <w:rFonts w:eastAsia="Arial" w:cs="Arial"/>
        </w:rPr>
        <w:t>D. Sentence 1 introduces a viewpoint, and sentence 2 considers its implications.</w:t>
      </w:r>
    </w:p>
    <w:p w14:paraId="4D4CBD21" w14:textId="77777777" w:rsidR="00A0078C" w:rsidRDefault="00000000">
      <w:pPr>
        <w:pStyle w:val="QuestionText"/>
        <w:spacing w:after="60"/>
      </w:pPr>
      <w:r>
        <w:rPr>
          <w:rFonts w:eastAsia="Arial" w:cs="Arial"/>
        </w:rPr>
        <w:t>34. The word “unravel” in the passage is closest in meaning to</w:t>
      </w:r>
    </w:p>
    <w:p w14:paraId="1400694B" w14:textId="77777777" w:rsidR="00A0078C" w:rsidRDefault="00000000">
      <w:pPr>
        <w:pStyle w:val="OptionText"/>
        <w:spacing w:after="20"/>
      </w:pPr>
      <w:r>
        <w:rPr>
          <w:rFonts w:eastAsia="Arial" w:cs="Arial"/>
        </w:rPr>
        <w:t>A. fall apart</w:t>
      </w:r>
    </w:p>
    <w:p w14:paraId="6ED40E9A" w14:textId="77777777" w:rsidR="00A0078C" w:rsidRDefault="00000000">
      <w:pPr>
        <w:pStyle w:val="OptionText"/>
        <w:spacing w:after="20"/>
      </w:pPr>
      <w:r>
        <w:rPr>
          <w:rFonts w:eastAsia="Arial" w:cs="Arial"/>
        </w:rPr>
        <w:t>B. gather strength</w:t>
      </w:r>
    </w:p>
    <w:p w14:paraId="5841182A" w14:textId="77777777" w:rsidR="00A0078C" w:rsidRDefault="00000000">
      <w:pPr>
        <w:pStyle w:val="OptionText"/>
        <w:spacing w:after="20"/>
      </w:pPr>
      <w:r>
        <w:rPr>
          <w:rFonts w:eastAsia="Arial" w:cs="Arial"/>
        </w:rPr>
        <w:t>C. form</w:t>
      </w:r>
    </w:p>
    <w:p w14:paraId="5448E497" w14:textId="77777777" w:rsidR="00A0078C" w:rsidRDefault="00000000">
      <w:pPr>
        <w:pStyle w:val="OptionText"/>
        <w:spacing w:after="100"/>
      </w:pPr>
      <w:r>
        <w:rPr>
          <w:rFonts w:eastAsia="Arial" w:cs="Arial"/>
        </w:rPr>
        <w:t>D. evolve</w:t>
      </w:r>
    </w:p>
    <w:p w14:paraId="47CEE15B" w14:textId="77777777" w:rsidR="007E685B" w:rsidRDefault="007E685B">
      <w:pPr>
        <w:spacing w:after="200"/>
        <w:rPr>
          <w:rFonts w:eastAsia="Arial" w:cs="Arial"/>
          <w:b/>
        </w:rPr>
      </w:pPr>
      <w:r>
        <w:rPr>
          <w:rFonts w:eastAsia="Arial" w:cs="Arial"/>
        </w:rPr>
        <w:br w:type="page"/>
      </w:r>
    </w:p>
    <w:p w14:paraId="0B764CD3" w14:textId="34E17193" w:rsidR="00A0078C" w:rsidRDefault="00000000">
      <w:pPr>
        <w:pStyle w:val="QuestionText"/>
        <w:spacing w:after="60"/>
      </w:pPr>
      <w:r>
        <w:rPr>
          <w:rFonts w:eastAsia="Arial" w:cs="Arial"/>
        </w:rPr>
        <w:lastRenderedPageBreak/>
        <w:t>35. According to the author, why is it important to consider questions about the meaning of free will?</w:t>
      </w:r>
    </w:p>
    <w:p w14:paraId="546DF791" w14:textId="77777777" w:rsidR="00A0078C" w:rsidRDefault="00000000">
      <w:pPr>
        <w:pStyle w:val="OptionText"/>
        <w:spacing w:after="20"/>
      </w:pPr>
      <w:r>
        <w:rPr>
          <w:rFonts w:eastAsia="Arial" w:cs="Arial"/>
        </w:rPr>
        <w:t>A. Ideas about free will affect how we hold each other responsible for our actions.</w:t>
      </w:r>
    </w:p>
    <w:p w14:paraId="19BF695E" w14:textId="77777777" w:rsidR="00A0078C" w:rsidRDefault="00000000">
      <w:pPr>
        <w:pStyle w:val="OptionText"/>
        <w:spacing w:after="20"/>
      </w:pPr>
      <w:r>
        <w:rPr>
          <w:rFonts w:eastAsia="Arial" w:cs="Arial"/>
        </w:rPr>
        <w:t>B. Free will is an important part of what it means to be a modern human being.</w:t>
      </w:r>
    </w:p>
    <w:p w14:paraId="5F3A0002" w14:textId="77777777" w:rsidR="00A0078C" w:rsidRDefault="00000000">
      <w:pPr>
        <w:pStyle w:val="OptionText"/>
        <w:spacing w:after="20"/>
      </w:pPr>
      <w:r>
        <w:rPr>
          <w:rFonts w:eastAsia="Arial" w:cs="Arial"/>
        </w:rPr>
        <w:t>C. The debate over free will and determinism is one of the fundamental questions of our time.</w:t>
      </w:r>
    </w:p>
    <w:p w14:paraId="4F1F23CB" w14:textId="77777777" w:rsidR="00A0078C" w:rsidRDefault="00000000">
      <w:pPr>
        <w:pStyle w:val="OptionText"/>
        <w:spacing w:after="100"/>
      </w:pPr>
      <w:r>
        <w:rPr>
          <w:rFonts w:eastAsia="Arial" w:cs="Arial"/>
        </w:rPr>
        <w:t>D. Without genuine autonomy, there is little value in institutions such as law and education.</w:t>
      </w:r>
    </w:p>
    <w:p w14:paraId="78ACFF21" w14:textId="77777777" w:rsidR="00A0078C" w:rsidRDefault="00000000">
      <w:r>
        <w:br w:type="page"/>
      </w:r>
    </w:p>
    <w:p w14:paraId="1FC493C5" w14:textId="77777777" w:rsidR="00A0078C" w:rsidRDefault="00000000">
      <w:pPr>
        <w:pStyle w:val="Module"/>
      </w:pPr>
      <w:r>
        <w:rPr>
          <w:rFonts w:eastAsia="Arial" w:cs="Arial"/>
        </w:rPr>
        <w:lastRenderedPageBreak/>
        <w:t>M2</w:t>
      </w:r>
    </w:p>
    <w:p w14:paraId="5365ACEE" w14:textId="77777777" w:rsidR="00A0078C" w:rsidRDefault="00000000">
      <w:pPr>
        <w:pStyle w:val="TypeHeading"/>
        <w:spacing w:after="120"/>
      </w:pPr>
      <w:r>
        <w:rPr>
          <w:rFonts w:eastAsia="Arial" w:cs="Arial"/>
        </w:rPr>
        <w:t>Complete the Words</w:t>
      </w:r>
    </w:p>
    <w:p w14:paraId="7EA8016C" w14:textId="77777777" w:rsidR="00A0078C" w:rsidRDefault="00000000">
      <w:pPr>
        <w:pStyle w:val="MaterialTitle"/>
        <w:jc w:val="center"/>
      </w:pPr>
      <w:r>
        <w:rPr>
          <w:rFonts w:eastAsia="Arial" w:cs="Arial"/>
        </w:rPr>
        <w:t>Questions 1-10 of 15</w:t>
      </w:r>
    </w:p>
    <w:p w14:paraId="0E4B79B5" w14:textId="77777777" w:rsidR="00A0078C" w:rsidRDefault="00000000">
      <w:pPr>
        <w:pStyle w:val="Instruction"/>
      </w:pPr>
      <w:r>
        <w:rPr>
          <w:rFonts w:eastAsia="Arial" w:cs="Arial"/>
        </w:rPr>
        <w:t>Fill in the missing letters in the paragraph.</w:t>
      </w:r>
    </w:p>
    <w:p w14:paraId="0088D6C5" w14:textId="77777777" w:rsidR="00A0078C" w:rsidRDefault="00000000">
      <w:pPr>
        <w:pStyle w:val="BodyText"/>
        <w:spacing w:after="200" w:line="300" w:lineRule="auto"/>
      </w:pPr>
      <w:r>
        <w:rPr>
          <w:rFonts w:eastAsia="Arial" w:cs="Arial"/>
        </w:rPr>
        <w:t>The study of the classical world involves examining the cultural, political, and social structures of ancient civilizations such as Greece and Rome. These soci_ _ _ _ _ have gre_ _ _ _ influenced mod_ _ _ governance, philo_ _ _ _ _, and a_ _. The con_ _ _ _ of demo_ _ _ _ _ originated i_ Athens, a_ _ Romans we_ _ superb engineers, building roads, aqueducts, and impressive buildings like the Pantheon. By understanding their advancements and contributions, we gain insight into the foundations of contemporary society. Archaeologists and historians employ various methods to uncover artifacts and interpret historical records from ancient times.</w:t>
      </w:r>
    </w:p>
    <w:p w14:paraId="1CA3F805" w14:textId="77777777" w:rsidR="00A0078C" w:rsidRDefault="00000000">
      <w:r>
        <w:br w:type="page"/>
      </w:r>
    </w:p>
    <w:p w14:paraId="596E90FD" w14:textId="77777777" w:rsidR="00A0078C" w:rsidRDefault="00000000">
      <w:pPr>
        <w:pStyle w:val="TypeHeading"/>
        <w:spacing w:after="120"/>
      </w:pPr>
      <w:r>
        <w:rPr>
          <w:rFonts w:eastAsia="Arial" w:cs="Arial"/>
        </w:rPr>
        <w:lastRenderedPageBreak/>
        <w:t>Read an Academic Passage</w:t>
      </w:r>
    </w:p>
    <w:p w14:paraId="01BD0F98" w14:textId="77777777" w:rsidR="00A0078C" w:rsidRDefault="00000000">
      <w:pPr>
        <w:pStyle w:val="MaterialTitle"/>
        <w:jc w:val="center"/>
      </w:pPr>
      <w:r>
        <w:rPr>
          <w:rFonts w:eastAsia="Arial" w:cs="Arial"/>
        </w:rPr>
        <w:t>Theater Lighting Innovations</w:t>
      </w:r>
    </w:p>
    <w:p w14:paraId="4D0BF590" w14:textId="77777777" w:rsidR="00A0078C" w:rsidRDefault="00000000">
      <w:pPr>
        <w:pStyle w:val="BodyText"/>
        <w:spacing w:after="100"/>
      </w:pPr>
      <w:r>
        <w:rPr>
          <w:rFonts w:eastAsia="Arial" w:cs="Arial"/>
        </w:rPr>
        <w:t>Theater lighting has evolved significantly over the centuries. Initially reliant on sunlight, performances were limited to daylight hours. Candles and oil lamps enabled evening shows but posed fire risks and offered limited control over illumination.</w:t>
      </w:r>
    </w:p>
    <w:p w14:paraId="5ED869C2" w14:textId="77777777" w:rsidR="00A0078C" w:rsidRDefault="00000000">
      <w:pPr>
        <w:pStyle w:val="BodyText"/>
        <w:spacing w:after="100"/>
      </w:pPr>
      <w:r>
        <w:rPr>
          <w:rFonts w:eastAsia="Arial" w:cs="Arial"/>
        </w:rPr>
        <w:t>The introduction of gas lighting in the nineteenth century provided safer lighting that was brighter and more consistent. This advancement improved visibility on stage and allowed for more expressive acting. Lights that illuminated actors from below and the sides helped direct audience attention.</w:t>
      </w:r>
    </w:p>
    <w:p w14:paraId="2F5E1D28" w14:textId="77777777" w:rsidR="00A0078C" w:rsidRDefault="00000000">
      <w:pPr>
        <w:pStyle w:val="BodyText"/>
        <w:spacing w:after="100"/>
      </w:pPr>
      <w:r>
        <w:rPr>
          <w:rFonts w:eastAsia="Arial" w:cs="Arial"/>
        </w:rPr>
        <w:t xml:space="preserve">The emergence of electric lighting in the late nineteenth century was transformative. Designers began using gels and filters to create a wide range of colors of varying intensity. These and other innovations, including focused spotlights and dimming systems, </w:t>
      </w:r>
      <w:r>
        <w:rPr>
          <w:rFonts w:eastAsia="Arial" w:cs="Arial"/>
          <w:b/>
          <w:color w:val="FFFFFF"/>
          <w:shd w:val="clear" w:color="auto" w:fill="008C8C"/>
        </w:rPr>
        <w:t>fundamentally</w:t>
      </w:r>
      <w:r>
        <w:rPr>
          <w:rFonts w:eastAsia="Arial" w:cs="Arial"/>
        </w:rPr>
        <w:t xml:space="preserve"> reshaped the visual and emotional stage landscape. For example, the angled light beams and shadows in Toller’s 1919 play </w:t>
      </w:r>
      <w:r>
        <w:rPr>
          <w:rFonts w:eastAsia="Arial" w:cs="Arial"/>
          <w:i/>
        </w:rPr>
        <w:t>Transformation</w:t>
      </w:r>
      <w:r>
        <w:rPr>
          <w:rFonts w:eastAsia="Arial" w:cs="Arial"/>
        </w:rPr>
        <w:t xml:space="preserve"> evoked the chaos and psychological unrest of post-war Germany.</w:t>
      </w:r>
    </w:p>
    <w:p w14:paraId="48914DAA" w14:textId="77777777" w:rsidR="00A0078C" w:rsidRDefault="00000000">
      <w:pPr>
        <w:pStyle w:val="BodyText"/>
        <w:spacing w:after="100"/>
      </w:pPr>
      <w:r>
        <w:rPr>
          <w:rFonts w:eastAsia="Arial" w:cs="Arial"/>
        </w:rPr>
        <w:t>Today’s theaters leverage LED technology for energy efficiency and versatility, as it offers rapid color changes and programmable effects to create varied settings. Designers must now carefully balance technological prowess with artistic intent, ensuring that lighting supports rather than distracts from the narrative. Moreover, as lighting systems become increasingly complex, collaboration between lighting designers, directors, and technicians has become essential.</w:t>
      </w:r>
    </w:p>
    <w:p w14:paraId="095D4D33" w14:textId="77777777" w:rsidR="00A0078C" w:rsidRDefault="00000000">
      <w:pPr>
        <w:pStyle w:val="QuestionText"/>
        <w:spacing w:after="60"/>
      </w:pPr>
      <w:r>
        <w:rPr>
          <w:rFonts w:eastAsia="Arial" w:cs="Arial"/>
        </w:rPr>
        <w:t>11. Which of the following is the most accurate description of the passage’s organization?</w:t>
      </w:r>
    </w:p>
    <w:p w14:paraId="5B675A38" w14:textId="77777777" w:rsidR="00A0078C" w:rsidRDefault="00000000">
      <w:pPr>
        <w:pStyle w:val="OptionText"/>
        <w:spacing w:after="20"/>
      </w:pPr>
      <w:r>
        <w:rPr>
          <w:rFonts w:eastAsia="Arial" w:cs="Arial"/>
        </w:rPr>
        <w:t>A. A discussion of the theory of theater lighting followed by paragraphs detailing the different effects it can achieve</w:t>
      </w:r>
    </w:p>
    <w:p w14:paraId="26FCF521" w14:textId="77777777" w:rsidR="00A0078C" w:rsidRDefault="00000000">
      <w:pPr>
        <w:pStyle w:val="OptionText"/>
        <w:spacing w:after="20"/>
      </w:pPr>
      <w:r>
        <w:rPr>
          <w:rFonts w:eastAsia="Arial" w:cs="Arial"/>
        </w:rPr>
        <w:t>B. An introduction followed by a summary of the disadvantages of older theater lighting systems</w:t>
      </w:r>
    </w:p>
    <w:p w14:paraId="5154C436" w14:textId="77777777" w:rsidR="00A0078C" w:rsidRDefault="00000000">
      <w:pPr>
        <w:pStyle w:val="OptionText"/>
        <w:spacing w:after="20"/>
      </w:pPr>
      <w:r>
        <w:rPr>
          <w:rFonts w:eastAsia="Arial" w:cs="Arial"/>
        </w:rPr>
        <w:t>C. An introduction followed by a series of paragraphs on successive developments in theater lighting</w:t>
      </w:r>
    </w:p>
    <w:p w14:paraId="3BF8218F" w14:textId="77777777" w:rsidR="00A0078C" w:rsidRDefault="00000000">
      <w:pPr>
        <w:pStyle w:val="OptionText"/>
        <w:spacing w:after="100"/>
      </w:pPr>
      <w:r>
        <w:rPr>
          <w:rFonts w:eastAsia="Arial" w:cs="Arial"/>
        </w:rPr>
        <w:t>D. A discussion of different theaters followed by a description of lighting technologies that complement each building</w:t>
      </w:r>
    </w:p>
    <w:p w14:paraId="392C51E7" w14:textId="77777777" w:rsidR="00A0078C" w:rsidRDefault="00000000">
      <w:pPr>
        <w:pStyle w:val="QuestionText"/>
        <w:spacing w:after="60"/>
      </w:pPr>
      <w:r>
        <w:rPr>
          <w:rFonts w:eastAsia="Arial" w:cs="Arial"/>
        </w:rPr>
        <w:t>12. According to the passage, gas lighting was an improvement on candles and oil lamps in all of the following ways EXCEPT:</w:t>
      </w:r>
    </w:p>
    <w:p w14:paraId="744ED46B" w14:textId="77777777" w:rsidR="00A0078C" w:rsidRDefault="00000000">
      <w:pPr>
        <w:pStyle w:val="OptionText"/>
        <w:spacing w:after="20"/>
      </w:pPr>
      <w:r>
        <w:rPr>
          <w:rFonts w:eastAsia="Arial" w:cs="Arial"/>
        </w:rPr>
        <w:t>A. It was less likely to cause fires.</w:t>
      </w:r>
    </w:p>
    <w:p w14:paraId="0F381458" w14:textId="77777777" w:rsidR="00A0078C" w:rsidRDefault="00000000">
      <w:pPr>
        <w:pStyle w:val="OptionText"/>
        <w:spacing w:after="20"/>
      </w:pPr>
      <w:r>
        <w:rPr>
          <w:rFonts w:eastAsia="Arial" w:cs="Arial"/>
        </w:rPr>
        <w:t>B. It could be directed at individual actors.</w:t>
      </w:r>
    </w:p>
    <w:p w14:paraId="75713707" w14:textId="77777777" w:rsidR="00A0078C" w:rsidRDefault="00000000">
      <w:pPr>
        <w:pStyle w:val="OptionText"/>
        <w:spacing w:after="20"/>
      </w:pPr>
      <w:r>
        <w:rPr>
          <w:rFonts w:eastAsia="Arial" w:cs="Arial"/>
        </w:rPr>
        <w:t>C. It produced a more constant light.</w:t>
      </w:r>
    </w:p>
    <w:p w14:paraId="1358F730" w14:textId="77777777" w:rsidR="00A0078C" w:rsidRDefault="00000000">
      <w:pPr>
        <w:pStyle w:val="OptionText"/>
        <w:spacing w:after="100"/>
      </w:pPr>
      <w:r>
        <w:rPr>
          <w:rFonts w:eastAsia="Arial" w:cs="Arial"/>
        </w:rPr>
        <w:t>D. It produced a softer light.</w:t>
      </w:r>
    </w:p>
    <w:p w14:paraId="570FB8CA" w14:textId="77777777" w:rsidR="00A0078C" w:rsidRDefault="00000000">
      <w:pPr>
        <w:pStyle w:val="QuestionText"/>
        <w:spacing w:after="60"/>
      </w:pPr>
      <w:r>
        <w:rPr>
          <w:rFonts w:eastAsia="Arial" w:cs="Arial"/>
        </w:rPr>
        <w:t>13. The word “fundamentally” in the passage is closest in meaning to</w:t>
      </w:r>
    </w:p>
    <w:p w14:paraId="1130FABF" w14:textId="77777777" w:rsidR="00A0078C" w:rsidRDefault="00000000">
      <w:pPr>
        <w:pStyle w:val="OptionText"/>
        <w:spacing w:after="20"/>
      </w:pPr>
      <w:r>
        <w:rPr>
          <w:rFonts w:eastAsia="Arial" w:cs="Arial"/>
        </w:rPr>
        <w:t>A. simply</w:t>
      </w:r>
    </w:p>
    <w:p w14:paraId="1F10314E" w14:textId="77777777" w:rsidR="00A0078C" w:rsidRDefault="00000000">
      <w:pPr>
        <w:pStyle w:val="OptionText"/>
        <w:spacing w:after="20"/>
      </w:pPr>
      <w:r>
        <w:rPr>
          <w:rFonts w:eastAsia="Arial" w:cs="Arial"/>
        </w:rPr>
        <w:t>B. thoroughly</w:t>
      </w:r>
    </w:p>
    <w:p w14:paraId="4B402E7D" w14:textId="77777777" w:rsidR="00A0078C" w:rsidRDefault="00000000">
      <w:pPr>
        <w:pStyle w:val="OptionText"/>
        <w:spacing w:after="20"/>
      </w:pPr>
      <w:r>
        <w:rPr>
          <w:rFonts w:eastAsia="Arial" w:cs="Arial"/>
        </w:rPr>
        <w:t>C. surprisingly</w:t>
      </w:r>
    </w:p>
    <w:p w14:paraId="7844513E" w14:textId="77777777" w:rsidR="00A0078C" w:rsidRDefault="00000000">
      <w:pPr>
        <w:pStyle w:val="OptionText"/>
        <w:spacing w:after="100"/>
      </w:pPr>
      <w:r>
        <w:rPr>
          <w:rFonts w:eastAsia="Arial" w:cs="Arial"/>
        </w:rPr>
        <w:t>D. permanently</w:t>
      </w:r>
    </w:p>
    <w:p w14:paraId="6FED9D93" w14:textId="77777777" w:rsidR="00A0078C" w:rsidRDefault="00000000">
      <w:pPr>
        <w:pStyle w:val="QuestionText"/>
        <w:spacing w:after="60"/>
      </w:pPr>
      <w:r>
        <w:rPr>
          <w:rFonts w:eastAsia="Arial" w:cs="Arial"/>
        </w:rPr>
        <w:lastRenderedPageBreak/>
        <w:t>14. Why does the author discuss Transformation?</w:t>
      </w:r>
    </w:p>
    <w:p w14:paraId="09C2F988" w14:textId="77777777" w:rsidR="00A0078C" w:rsidRDefault="00000000">
      <w:pPr>
        <w:pStyle w:val="OptionText"/>
        <w:spacing w:after="20"/>
      </w:pPr>
      <w:r>
        <w:rPr>
          <w:rFonts w:eastAsia="Arial" w:cs="Arial"/>
        </w:rPr>
        <w:t>A. To illustrate how skillful lighting can communicate a mood to the audience</w:t>
      </w:r>
    </w:p>
    <w:p w14:paraId="17EB83E4" w14:textId="77777777" w:rsidR="00A0078C" w:rsidRDefault="00000000">
      <w:pPr>
        <w:pStyle w:val="OptionText"/>
        <w:spacing w:after="20"/>
      </w:pPr>
      <w:r>
        <w:rPr>
          <w:rFonts w:eastAsia="Arial" w:cs="Arial"/>
        </w:rPr>
        <w:t>B. To provide an example of a play that could have benefited from LED technology</w:t>
      </w:r>
    </w:p>
    <w:p w14:paraId="412F7F1F" w14:textId="77777777" w:rsidR="00A0078C" w:rsidRDefault="00000000">
      <w:pPr>
        <w:pStyle w:val="OptionText"/>
        <w:spacing w:after="20"/>
      </w:pPr>
      <w:r>
        <w:rPr>
          <w:rFonts w:eastAsia="Arial" w:cs="Arial"/>
        </w:rPr>
        <w:t>C. To explain why electric lighting was not as powerful for creating moods as gas lighting</w:t>
      </w:r>
    </w:p>
    <w:p w14:paraId="562C9211" w14:textId="77777777" w:rsidR="00A0078C" w:rsidRDefault="00000000">
      <w:pPr>
        <w:pStyle w:val="OptionText"/>
        <w:spacing w:after="100"/>
      </w:pPr>
      <w:r>
        <w:rPr>
          <w:rFonts w:eastAsia="Arial" w:cs="Arial"/>
        </w:rPr>
        <w:t>D. To argue that some plays relied too heavily on lighting effects</w:t>
      </w:r>
    </w:p>
    <w:p w14:paraId="06EC6CCC" w14:textId="77777777" w:rsidR="00A0078C" w:rsidRDefault="00000000">
      <w:pPr>
        <w:pStyle w:val="QuestionText"/>
        <w:spacing w:after="60"/>
      </w:pPr>
      <w:r>
        <w:rPr>
          <w:rFonts w:eastAsia="Arial" w:cs="Arial"/>
        </w:rPr>
        <w:t>15. What does the passage imply about modern lighting technology?</w:t>
      </w:r>
    </w:p>
    <w:p w14:paraId="371680B0" w14:textId="77777777" w:rsidR="00A0078C" w:rsidRDefault="00000000">
      <w:pPr>
        <w:pStyle w:val="OptionText"/>
        <w:spacing w:after="20"/>
      </w:pPr>
      <w:r>
        <w:rPr>
          <w:rFonts w:eastAsia="Arial" w:cs="Arial"/>
        </w:rPr>
        <w:t>A. It can sometimes shift the focus from the play to the lighting.</w:t>
      </w:r>
    </w:p>
    <w:p w14:paraId="7553AAB7" w14:textId="77777777" w:rsidR="00A0078C" w:rsidRDefault="00000000">
      <w:pPr>
        <w:pStyle w:val="OptionText"/>
        <w:spacing w:after="20"/>
      </w:pPr>
      <w:r>
        <w:rPr>
          <w:rFonts w:eastAsia="Arial" w:cs="Arial"/>
        </w:rPr>
        <w:t>B. It requires directors who are skilled in computer programming.</w:t>
      </w:r>
    </w:p>
    <w:p w14:paraId="25C912F6" w14:textId="77777777" w:rsidR="00A0078C" w:rsidRDefault="00000000">
      <w:pPr>
        <w:pStyle w:val="OptionText"/>
        <w:spacing w:after="20"/>
      </w:pPr>
      <w:r>
        <w:rPr>
          <w:rFonts w:eastAsia="Arial" w:cs="Arial"/>
        </w:rPr>
        <w:t>C. Theaters must now allocate more money to technicians and less to actors.</w:t>
      </w:r>
    </w:p>
    <w:p w14:paraId="2DE9312C" w14:textId="77777777" w:rsidR="00A0078C" w:rsidRDefault="00000000">
      <w:pPr>
        <w:pStyle w:val="OptionText"/>
        <w:spacing w:after="100"/>
      </w:pPr>
      <w:r>
        <w:rPr>
          <w:rFonts w:eastAsia="Arial" w:cs="Arial"/>
        </w:rPr>
        <w:t>D. Theaters must be redesigned to incorporate new lighting technology.</w:t>
      </w:r>
    </w:p>
    <w:sectPr w:rsidR="00A0078C"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B2A9EF" w14:textId="77777777" w:rsidR="00AF4A6E" w:rsidRDefault="00AF4A6E">
      <w:pPr>
        <w:spacing w:after="0" w:line="240" w:lineRule="auto"/>
      </w:pPr>
      <w:r>
        <w:separator/>
      </w:r>
    </w:p>
  </w:endnote>
  <w:endnote w:type="continuationSeparator" w:id="0">
    <w:p w14:paraId="43F2D246" w14:textId="77777777" w:rsidR="00AF4A6E" w:rsidRDefault="00AF4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1EA520" w14:textId="77777777" w:rsidR="00A0078C" w:rsidRDefault="00000000">
    <w:pPr>
      <w:pStyle w:val="a6"/>
      <w:jc w:val="center"/>
    </w:pPr>
    <w:r>
      <w:fldChar w:fldCharType="begin"/>
    </w:r>
    <w:r>
      <w:instrText>PAGE</w:instrText>
    </w:r>
    <w:r>
      <w:fldChar w:fldCharType="separate"/>
    </w:r>
    <w:r w:rsidR="001C168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2C5C8E" w14:textId="77777777" w:rsidR="00AF4A6E" w:rsidRDefault="00AF4A6E">
      <w:pPr>
        <w:spacing w:after="0" w:line="240" w:lineRule="auto"/>
      </w:pPr>
      <w:r>
        <w:separator/>
      </w:r>
    </w:p>
  </w:footnote>
  <w:footnote w:type="continuationSeparator" w:id="0">
    <w:p w14:paraId="2C9132A3" w14:textId="77777777" w:rsidR="00AF4A6E" w:rsidRDefault="00AF4A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26342B" w14:textId="77777777" w:rsidR="00A0078C" w:rsidRDefault="00000000">
    <w:pPr>
      <w:pStyle w:val="a4"/>
      <w:jc w:val="right"/>
    </w:pPr>
    <w:r>
      <w:rPr>
        <w:rFonts w:eastAsia="Arial" w:cs="Arial"/>
        <w:sz w:val="18"/>
      </w:rPr>
      <w:t>TOEFL Reading | 5.20B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6EA0FD5"/>
    <w:multiLevelType w:val="singleLevel"/>
    <w:tmpl w:val="29AE550C"/>
    <w:lvl w:ilvl="0">
      <w:start w:val="1"/>
      <w:numFmt w:val="bullet"/>
      <w:pStyle w:val="a"/>
      <w:lvlText w:val="•"/>
      <w:lvlJc w:val="left"/>
      <w:pPr>
        <w:tabs>
          <w:tab w:val="num" w:pos="540"/>
        </w:tabs>
        <w:ind w:left="540" w:hanging="270"/>
      </w:pPr>
      <w:rPr>
        <w:rFonts w:ascii="Arial" w:hAnsi="Arial"/>
      </w:rPr>
    </w:lvl>
  </w:abstractNum>
  <w:num w:numId="1" w16cid:durableId="59933730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85B"/>
    <w:rsid w:val="001C168A"/>
    <w:rsid w:val="0029639D"/>
    <w:rsid w:val="002C4CB7"/>
    <w:rsid w:val="00326F90"/>
    <w:rsid w:val="0034177C"/>
    <w:rsid w:val="00661200"/>
    <w:rsid w:val="007C76A2"/>
    <w:rsid w:val="007E685B"/>
    <w:rsid w:val="00857744"/>
    <w:rsid w:val="0097429A"/>
    <w:rsid w:val="00A0078C"/>
    <w:rsid w:val="00AA1D8D"/>
    <w:rsid w:val="00AF4A6E"/>
    <w:rsid w:val="00B47730"/>
    <w:rsid w:val="00CB0664"/>
    <w:rsid w:val="00EB04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7F01F8"/>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1917</Words>
  <Characters>10930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5.20B</dc:title>
  <dc:subject>TOEFL Reading</dc:subject>
  <dc:creator/>
  <cp:keywords/>
  <dc:description>generated by python-docx</dc:description>
  <cp:lastModifiedBy>Rico</cp:lastModifiedBy>
  <cp:revision>9</cp:revision>
  <dcterms:created xsi:type="dcterms:W3CDTF">2013-12-23T23:15:00Z</dcterms:created>
  <dcterms:modified xsi:type="dcterms:W3CDTF">2026-07-29T03:36:00Z</dcterms:modified>
  <cp:category/>
</cp:coreProperties>
</file>