
<file path=[Content_Types].xml><?xml version="1.0" encoding="utf-8"?>
<Types xmlns="http://schemas.openxmlformats.org/package/2006/content-types">
  <Override PartName="/_rels/.rels" ContentType="application/vnd.openxmlformats-package.relationships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word/media/image3.png" ContentType="image/png"/>
  <Override PartName="/word/media/image1.png" ContentType="image/png"/>
  <Override PartName="/word/media/image2.png" ContentType="image/png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rPr>
          <w:b/>
          <w:b/>
        </w:rPr>
      </w:pPr>
      <w:r>
        <w:rPr>
          <w:b/>
        </w:rPr>
        <w:t>Wärmebedarf:</w:t>
      </w:r>
    </w:p>
    <w:p>
      <w:pPr>
        <w:pStyle w:val="ListParagraph"/>
        <w:numPr>
          <w:ilvl w:val="0"/>
          <w:numId w:val="1"/>
        </w:numPr>
        <w:rPr/>
      </w:pPr>
      <w:r>
        <w:rPr/>
        <w:t>Wärmeenergiebedarf 4 Personenhaushalt EFH: ca 25.000 kWh/a [https://heizung.de/heizung/tipps/der-durchschnittliche-energiebedarf-im-haus/]</w:t>
      </w:r>
    </w:p>
    <w:p>
      <w:pPr>
        <w:pStyle w:val="ListParagraph"/>
        <w:numPr>
          <w:ilvl w:val="0"/>
          <w:numId w:val="1"/>
        </w:numPr>
        <w:rPr/>
      </w:pPr>
      <w:r>
        <w:rPr/>
        <w:t>Heizenergiebedarf:</w:t>
      </w:r>
    </w:p>
    <w:p>
      <w:pPr>
        <w:pStyle w:val="ListParagraph"/>
        <w:numPr>
          <w:ilvl w:val="1"/>
          <w:numId w:val="1"/>
        </w:numPr>
        <w:rPr/>
      </w:pPr>
      <w:r>
        <w:rPr/>
        <w:t>1970 bis 1980 benötigt rund 200 bis 300 Kilowattstunden pro Quadratmeter und Jahr</w:t>
      </w:r>
    </w:p>
    <w:p>
      <w:pPr>
        <w:pStyle w:val="ListParagraph"/>
        <w:numPr>
          <w:ilvl w:val="1"/>
          <w:numId w:val="1"/>
        </w:numPr>
        <w:rPr/>
      </w:pPr>
      <w:r>
        <w:rPr/>
        <w:t>1980 bis 1990 benötigt rund 125 bis 200 Kilowattstunden pro Quadratmeter und Jahr</w:t>
      </w:r>
    </w:p>
    <w:p>
      <w:pPr>
        <w:pStyle w:val="ListParagraph"/>
        <w:numPr>
          <w:ilvl w:val="1"/>
          <w:numId w:val="1"/>
        </w:numPr>
        <w:rPr/>
      </w:pPr>
      <w:r>
        <w:rPr/>
        <w:t>1990 bis 2000 benötigt rund 90 bis 125 Kilowattstunden pro Quadratmeter und Jahr</w:t>
      </w:r>
    </w:p>
    <w:p>
      <w:pPr>
        <w:pStyle w:val="ListParagraph"/>
        <w:numPr>
          <w:ilvl w:val="1"/>
          <w:numId w:val="1"/>
        </w:numPr>
        <w:rPr/>
      </w:pPr>
      <w:r>
        <w:rPr/>
        <w:t>2000 bis heute benötigt rund 25 bis 90 Kilowattstunden pro Quadratmeter und Jahr</w:t>
      </w:r>
    </w:p>
    <w:p>
      <w:pPr>
        <w:pStyle w:val="ListParagraph"/>
        <w:numPr>
          <w:ilvl w:val="0"/>
          <w:numId w:val="1"/>
        </w:numPr>
        <w:jc w:val="both"/>
        <w:rPr/>
      </w:pPr>
      <w:r>
        <w:rPr/>
        <w:t>Heizlast beschreibt, wie viel Wärme ein Haus bei der tiefsten Außentemperatur benötigt, um bestimmte Raumtemperaturen gewährleisten zu können.</w:t>
      </w:r>
    </w:p>
    <w:p>
      <w:pPr>
        <w:pStyle w:val="ListParagraph"/>
        <w:numPr>
          <w:ilvl w:val="0"/>
          <w:numId w:val="1"/>
        </w:numPr>
        <w:jc w:val="both"/>
        <w:rPr/>
      </w:pPr>
      <w:r>
        <w:rPr/>
        <w:t>Schätzwerte Warmwasserverbrauch: [https://heizung.de/heizung/wissen/berechnung-der-warmwasserkosten-so-geht-s/]</w:t>
      </w:r>
    </w:p>
    <w:p>
      <w:pPr>
        <w:pStyle w:val="ListParagraph"/>
        <w:numPr>
          <w:ilvl w:val="1"/>
          <w:numId w:val="1"/>
        </w:numPr>
        <w:jc w:val="both"/>
        <w:rPr/>
      </w:pPr>
      <w:r>
        <w:rPr/>
        <w:t>25 Liter pro Person und Tag in sehr sparsamen Haushalten</w:t>
      </w:r>
    </w:p>
    <w:p>
      <w:pPr>
        <w:pStyle w:val="ListParagraph"/>
        <w:numPr>
          <w:ilvl w:val="1"/>
          <w:numId w:val="1"/>
        </w:numPr>
        <w:jc w:val="both"/>
        <w:rPr/>
      </w:pPr>
      <w:r>
        <w:rPr/>
        <w:t>30 bis 35 Liter pro Person und Tag in typischen Haushalten</w:t>
      </w:r>
    </w:p>
    <w:p>
      <w:pPr>
        <w:pStyle w:val="ListParagraph"/>
        <w:numPr>
          <w:ilvl w:val="1"/>
          <w:numId w:val="1"/>
        </w:numPr>
        <w:jc w:val="both"/>
        <w:rPr/>
      </w:pPr>
      <w:r>
        <w:rPr/>
        <w:t>40 bis 50 Liter pro Person und Tag in Haushalten mit hohem Verbrauch</w:t>
      </w:r>
    </w:p>
    <w:p>
      <w:pPr>
        <w:pStyle w:val="Normal"/>
        <w:jc w:val="both"/>
        <w:rPr>
          <w:rFonts w:cs="Calibri" w:cstheme="minorHAnsi"/>
          <w:b/>
          <w:b/>
        </w:rPr>
      </w:pPr>
      <w:r>
        <w:rPr>
          <w:rFonts w:cs="Calibri" w:cstheme="minorHAnsi"/>
          <w:b/>
        </w:rPr>
        <w:t xml:space="preserve"> </w:t>
      </w:r>
      <w:r>
        <w:rPr>
          <w:rFonts w:cs="Calibri" w:cstheme="minorHAnsi"/>
          <w:b/>
        </w:rPr>
        <w:t>§ 9 Heizkostenverordnung:</w:t>
      </w:r>
    </w:p>
    <w:p>
      <w:pPr>
        <w:pStyle w:val="Normal"/>
        <w:spacing w:lineRule="auto" w:line="240" w:beforeAutospacing="1" w:afterAutospacing="1"/>
        <w:rPr>
          <w:rFonts w:eastAsia="Times New Roman" w:cs="Calibri" w:cstheme="minorHAnsi"/>
          <w:sz w:val="24"/>
          <w:szCs w:val="24"/>
          <w:lang w:eastAsia="de-DE"/>
        </w:rPr>
      </w:pPr>
      <w:r>
        <w:rPr>
          <w:rFonts w:eastAsia="Times New Roman" w:cs="Calibri" w:cstheme="minorHAnsi"/>
          <w:sz w:val="24"/>
          <w:szCs w:val="24"/>
          <w:lang w:eastAsia="de-DE"/>
        </w:rPr>
        <w:t xml:space="preserve">Der Brennstoffverbrauch der zentralen Warmwasserversorgungsanlage (B) ist in Litern, Kubikmetern oder Kilogramm nach der Formel </w:t>
      </w:r>
    </w:p>
    <w:p>
      <w:pPr>
        <w:pStyle w:val="Normal"/>
        <w:spacing w:lineRule="auto" w:line="240" w:beforeAutospacing="1" w:afterAutospacing="1"/>
        <w:jc w:val="center"/>
        <w:rPr>
          <w:rFonts w:eastAsia="Times New Roman" w:cs="Calibri" w:cstheme="minorHAnsi"/>
          <w:sz w:val="24"/>
          <w:szCs w:val="24"/>
          <w:lang w:eastAsia="de-DE"/>
        </w:rPr>
      </w:pPr>
      <w:r>
        <w:rPr>
          <w:rFonts w:eastAsia="Times New Roman" w:cs="Calibri" w:cstheme="minorHAnsi"/>
          <w:sz w:val="24"/>
          <w:szCs w:val="24"/>
          <w:lang w:eastAsia="de-DE"/>
        </w:rPr>
        <w:t>2,5 x V x (tw -10)</w:t>
        <w:br/>
        <w:t xml:space="preserve">B = ------------------------------ </w:t>
        <w:br/>
        <w:t xml:space="preserve">Hu </w:t>
      </w:r>
    </w:p>
    <w:p>
      <w:pPr>
        <w:pStyle w:val="Normal"/>
        <w:spacing w:lineRule="auto" w:line="240" w:beforeAutospacing="1" w:afterAutospacing="1"/>
        <w:rPr>
          <w:rFonts w:eastAsia="Times New Roman" w:cs="Calibri" w:cstheme="minorHAnsi"/>
          <w:sz w:val="24"/>
          <w:szCs w:val="24"/>
          <w:lang w:eastAsia="de-DE"/>
        </w:rPr>
      </w:pPr>
      <w:r>
        <w:rPr>
          <w:rFonts w:eastAsia="Times New Roman" w:cs="Calibri" w:cstheme="minorHAnsi"/>
          <w:sz w:val="24"/>
          <w:szCs w:val="24"/>
          <w:lang w:eastAsia="de-DE"/>
        </w:rPr>
        <w:t>zu berechnen.</w:t>
      </w:r>
    </w:p>
    <w:p>
      <w:pPr>
        <w:pStyle w:val="Normal"/>
        <w:spacing w:lineRule="auto" w:line="240" w:beforeAutospacing="1" w:afterAutospacing="1"/>
        <w:rPr>
          <w:rFonts w:eastAsia="Times New Roman" w:cs="Calibri" w:cstheme="minorHAnsi"/>
          <w:sz w:val="24"/>
          <w:szCs w:val="24"/>
          <w:lang w:eastAsia="de-DE"/>
        </w:rPr>
      </w:pPr>
      <w:r>
        <w:rPr>
          <w:rFonts w:eastAsia="Times New Roman" w:cs="Calibri" w:cstheme="minorHAnsi"/>
          <w:sz w:val="24"/>
          <w:szCs w:val="24"/>
          <w:lang w:eastAsia="de-DE"/>
        </w:rPr>
        <w:t>Dabei sind zugrunde zu legen</w:t>
      </w:r>
    </w:p>
    <w:p>
      <w:pPr>
        <w:pStyle w:val="Normal"/>
        <w:numPr>
          <w:ilvl w:val="0"/>
          <w:numId w:val="2"/>
        </w:numPr>
        <w:spacing w:lineRule="auto" w:line="240" w:beforeAutospacing="1" w:after="0"/>
        <w:rPr>
          <w:rFonts w:eastAsia="Times New Roman" w:cs="Calibri" w:cstheme="minorHAnsi"/>
          <w:sz w:val="24"/>
          <w:szCs w:val="24"/>
          <w:lang w:eastAsia="de-DE"/>
        </w:rPr>
      </w:pPr>
      <w:r>
        <w:rPr>
          <w:rFonts w:eastAsia="Times New Roman" w:cs="Calibri" w:cstheme="minorHAnsi"/>
          <w:sz w:val="24"/>
          <w:szCs w:val="24"/>
          <w:lang w:eastAsia="de-DE"/>
        </w:rPr>
        <w:t>das gemessene Volumen des verbrauchten Warmwassers (V) in Kubikmetern;</w:t>
      </w:r>
    </w:p>
    <w:p>
      <w:pPr>
        <w:pStyle w:val="Normal"/>
        <w:numPr>
          <w:ilvl w:val="0"/>
          <w:numId w:val="2"/>
        </w:numPr>
        <w:spacing w:lineRule="auto" w:line="240" w:before="0" w:after="0"/>
        <w:rPr>
          <w:rFonts w:eastAsia="Times New Roman" w:cs="Calibri" w:cstheme="minorHAnsi"/>
          <w:sz w:val="24"/>
          <w:szCs w:val="24"/>
          <w:lang w:eastAsia="de-DE"/>
        </w:rPr>
      </w:pPr>
      <w:r>
        <w:rPr>
          <w:rFonts w:eastAsia="Times New Roman" w:cs="Calibri" w:cstheme="minorHAnsi"/>
          <w:sz w:val="24"/>
          <w:szCs w:val="24"/>
          <w:lang w:eastAsia="de-DE"/>
        </w:rPr>
        <w:t>die gemessene oder geschätzte mittlere Temperatur des Warmwassers (tw) in Grad Celsius;</w:t>
      </w:r>
    </w:p>
    <w:p>
      <w:pPr>
        <w:pStyle w:val="Normal"/>
        <w:numPr>
          <w:ilvl w:val="0"/>
          <w:numId w:val="2"/>
        </w:numPr>
        <w:spacing w:lineRule="auto" w:line="240" w:before="0" w:afterAutospacing="1"/>
        <w:rPr>
          <w:rFonts w:eastAsia="Times New Roman" w:cs="Calibri" w:cstheme="minorHAnsi"/>
          <w:sz w:val="24"/>
          <w:szCs w:val="24"/>
          <w:lang w:eastAsia="de-DE"/>
        </w:rPr>
      </w:pPr>
      <w:r>
        <w:rPr>
          <w:rFonts w:eastAsia="Times New Roman" w:cs="Calibri" w:cstheme="minorHAnsi"/>
          <w:sz w:val="24"/>
          <w:szCs w:val="24"/>
          <w:lang w:eastAsia="de-DE"/>
        </w:rPr>
        <w:t xml:space="preserve">der Heizwert des verbrauchten Brennstoffes (Hu) in Kilowattstunden (kWh) je Liter (l), Kubikmeter (mF) oder Kilogramm (kg). Als Hu-Werte können verwendet werden für </w:t>
      </w:r>
    </w:p>
    <w:tbl>
      <w:tblPr>
        <w:tblW w:w="3243" w:type="dxa"/>
        <w:jc w:val="left"/>
        <w:tblInd w:w="720" w:type="dxa"/>
        <w:tblBorders/>
        <w:tblCellMar>
          <w:top w:w="15" w:type="dxa"/>
          <w:left w:w="15" w:type="dxa"/>
          <w:bottom w:w="15" w:type="dxa"/>
          <w:right w:w="15" w:type="dxa"/>
        </w:tblCellMar>
        <w:tblLook w:noVBand="1" w:val="04a0" w:noHBand="0" w:lastColumn="0" w:firstColumn="1" w:lastRow="0" w:firstRow="1"/>
      </w:tblPr>
      <w:tblGrid>
        <w:gridCol w:w="1425"/>
        <w:gridCol w:w="641"/>
        <w:gridCol w:w="1177"/>
      </w:tblGrid>
      <w:tr>
        <w:trPr>
          <w:trHeight w:val="130" w:hRule="atLeast"/>
        </w:trPr>
        <w:tc>
          <w:tcPr>
            <w:tcW w:w="1425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eastAsia="Times New Roman" w:cs="Calibri" w:cstheme="minorHAnsi"/>
                <w:sz w:val="24"/>
                <w:szCs w:val="24"/>
                <w:lang w:eastAsia="de-DE"/>
              </w:rPr>
            </w:pPr>
            <w:r>
              <w:rPr>
                <w:rFonts w:eastAsia="Times New Roman" w:cs="Calibri" w:cstheme="minorHAnsi"/>
                <w:sz w:val="24"/>
                <w:szCs w:val="24"/>
                <w:lang w:eastAsia="de-DE"/>
              </w:rPr>
              <w:t>Heizöl</w:t>
            </w:r>
          </w:p>
        </w:tc>
        <w:tc>
          <w:tcPr>
            <w:tcW w:w="64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right"/>
              <w:rPr>
                <w:rFonts w:eastAsia="Times New Roman" w:cs="Calibri" w:cstheme="minorHAnsi"/>
                <w:sz w:val="24"/>
                <w:szCs w:val="24"/>
                <w:lang w:eastAsia="de-DE"/>
              </w:rPr>
            </w:pPr>
            <w:r>
              <w:rPr>
                <w:rFonts w:eastAsia="Times New Roman" w:cs="Calibri" w:cstheme="minorHAnsi"/>
                <w:sz w:val="24"/>
                <w:szCs w:val="24"/>
                <w:lang w:eastAsia="de-DE"/>
              </w:rPr>
              <w:t>10,0</w:t>
            </w:r>
          </w:p>
        </w:tc>
        <w:tc>
          <w:tcPr>
            <w:tcW w:w="1177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eastAsia="Times New Roman" w:cs="Calibri" w:cstheme="minorHAnsi"/>
                <w:sz w:val="24"/>
                <w:szCs w:val="24"/>
                <w:lang w:eastAsia="de-DE"/>
              </w:rPr>
            </w:pPr>
            <w:r>
              <w:rPr>
                <w:rFonts w:eastAsia="Times New Roman" w:cs="Calibri" w:cstheme="minorHAnsi"/>
                <w:sz w:val="24"/>
                <w:szCs w:val="24"/>
                <w:lang w:eastAsia="de-DE"/>
              </w:rPr>
              <w:t>kWh/l</w:t>
            </w:r>
          </w:p>
        </w:tc>
      </w:tr>
      <w:tr>
        <w:trPr>
          <w:trHeight w:val="123" w:hRule="atLeast"/>
        </w:trPr>
        <w:tc>
          <w:tcPr>
            <w:tcW w:w="1425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eastAsia="Times New Roman" w:cs="Calibri" w:cstheme="minorHAnsi"/>
                <w:sz w:val="24"/>
                <w:szCs w:val="24"/>
                <w:lang w:eastAsia="de-DE"/>
              </w:rPr>
            </w:pPr>
            <w:r>
              <w:rPr>
                <w:rFonts w:eastAsia="Times New Roman" w:cs="Calibri" w:cstheme="minorHAnsi"/>
                <w:sz w:val="24"/>
                <w:szCs w:val="24"/>
                <w:lang w:eastAsia="de-DE"/>
              </w:rPr>
              <w:t>Stadtgas</w:t>
            </w:r>
          </w:p>
        </w:tc>
        <w:tc>
          <w:tcPr>
            <w:tcW w:w="64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right"/>
              <w:rPr>
                <w:rFonts w:eastAsia="Times New Roman" w:cs="Calibri" w:cstheme="minorHAnsi"/>
                <w:sz w:val="24"/>
                <w:szCs w:val="24"/>
                <w:lang w:eastAsia="de-DE"/>
              </w:rPr>
            </w:pPr>
            <w:r>
              <w:rPr>
                <w:rFonts w:eastAsia="Times New Roman" w:cs="Calibri" w:cstheme="minorHAnsi"/>
                <w:sz w:val="24"/>
                <w:szCs w:val="24"/>
                <w:lang w:eastAsia="de-DE"/>
              </w:rPr>
              <w:t>4,5</w:t>
            </w:r>
          </w:p>
        </w:tc>
        <w:tc>
          <w:tcPr>
            <w:tcW w:w="1177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eastAsia="Times New Roman" w:cs="Calibri" w:cstheme="minorHAnsi"/>
                <w:sz w:val="24"/>
                <w:szCs w:val="24"/>
                <w:lang w:eastAsia="de-DE"/>
              </w:rPr>
            </w:pPr>
            <w:r>
              <w:rPr>
                <w:rFonts w:eastAsia="Times New Roman" w:cs="Calibri" w:cstheme="minorHAnsi"/>
                <w:sz w:val="24"/>
                <w:szCs w:val="24"/>
                <w:lang w:eastAsia="de-DE"/>
              </w:rPr>
              <w:t>kWh/m³</w:t>
            </w:r>
          </w:p>
        </w:tc>
      </w:tr>
      <w:tr>
        <w:trPr>
          <w:trHeight w:val="130" w:hRule="atLeast"/>
        </w:trPr>
        <w:tc>
          <w:tcPr>
            <w:tcW w:w="1425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eastAsia="Times New Roman" w:cs="Calibri" w:cstheme="minorHAnsi"/>
                <w:sz w:val="24"/>
                <w:szCs w:val="24"/>
                <w:lang w:eastAsia="de-DE"/>
              </w:rPr>
            </w:pPr>
            <w:r>
              <w:rPr>
                <w:rFonts w:eastAsia="Times New Roman" w:cs="Calibri" w:cstheme="minorHAnsi"/>
                <w:sz w:val="24"/>
                <w:szCs w:val="24"/>
                <w:lang w:eastAsia="de-DE"/>
              </w:rPr>
              <w:t>Erdgas L</w:t>
            </w:r>
          </w:p>
        </w:tc>
        <w:tc>
          <w:tcPr>
            <w:tcW w:w="64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right"/>
              <w:rPr>
                <w:rFonts w:eastAsia="Times New Roman" w:cs="Calibri" w:cstheme="minorHAnsi"/>
                <w:sz w:val="24"/>
                <w:szCs w:val="24"/>
                <w:lang w:eastAsia="de-DE"/>
              </w:rPr>
            </w:pPr>
            <w:r>
              <w:rPr>
                <w:rFonts w:eastAsia="Times New Roman" w:cs="Calibri" w:cstheme="minorHAnsi"/>
                <w:sz w:val="24"/>
                <w:szCs w:val="24"/>
                <w:lang w:eastAsia="de-DE"/>
              </w:rPr>
              <w:t>9,0</w:t>
            </w:r>
          </w:p>
        </w:tc>
        <w:tc>
          <w:tcPr>
            <w:tcW w:w="1177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eastAsia="Times New Roman" w:cs="Calibri" w:cstheme="minorHAnsi"/>
                <w:sz w:val="24"/>
                <w:szCs w:val="24"/>
                <w:lang w:eastAsia="de-DE"/>
              </w:rPr>
            </w:pPr>
            <w:r>
              <w:rPr>
                <w:rFonts w:eastAsia="Times New Roman" w:cs="Calibri" w:cstheme="minorHAnsi"/>
                <w:sz w:val="24"/>
                <w:szCs w:val="24"/>
                <w:lang w:eastAsia="de-DE"/>
              </w:rPr>
              <w:t>kWh/m³</w:t>
            </w:r>
          </w:p>
        </w:tc>
      </w:tr>
      <w:tr>
        <w:trPr>
          <w:trHeight w:val="123" w:hRule="atLeast"/>
        </w:trPr>
        <w:tc>
          <w:tcPr>
            <w:tcW w:w="1425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eastAsia="Times New Roman" w:cs="Calibri" w:cstheme="minorHAnsi"/>
                <w:sz w:val="24"/>
                <w:szCs w:val="24"/>
                <w:lang w:eastAsia="de-DE"/>
              </w:rPr>
            </w:pPr>
            <w:r>
              <w:rPr>
                <w:rFonts w:eastAsia="Times New Roman" w:cs="Calibri" w:cstheme="minorHAnsi"/>
                <w:sz w:val="24"/>
                <w:szCs w:val="24"/>
                <w:lang w:eastAsia="de-DE"/>
              </w:rPr>
              <w:t>Erdgas H</w:t>
            </w:r>
          </w:p>
        </w:tc>
        <w:tc>
          <w:tcPr>
            <w:tcW w:w="64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right"/>
              <w:rPr>
                <w:rFonts w:eastAsia="Times New Roman" w:cs="Calibri" w:cstheme="minorHAnsi"/>
                <w:sz w:val="24"/>
                <w:szCs w:val="24"/>
                <w:lang w:eastAsia="de-DE"/>
              </w:rPr>
            </w:pPr>
            <w:r>
              <w:rPr>
                <w:rFonts w:eastAsia="Times New Roman" w:cs="Calibri" w:cstheme="minorHAnsi"/>
                <w:sz w:val="24"/>
                <w:szCs w:val="24"/>
                <w:lang w:eastAsia="de-DE"/>
              </w:rPr>
              <w:t>10,5</w:t>
            </w:r>
          </w:p>
        </w:tc>
        <w:tc>
          <w:tcPr>
            <w:tcW w:w="1177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eastAsia="Times New Roman" w:cs="Calibri" w:cstheme="minorHAnsi"/>
                <w:sz w:val="24"/>
                <w:szCs w:val="24"/>
                <w:lang w:eastAsia="de-DE"/>
              </w:rPr>
            </w:pPr>
            <w:r>
              <w:rPr>
                <w:rFonts w:eastAsia="Times New Roman" w:cs="Calibri" w:cstheme="minorHAnsi"/>
                <w:sz w:val="24"/>
                <w:szCs w:val="24"/>
                <w:lang w:eastAsia="de-DE"/>
              </w:rPr>
              <w:t>kWh/m³</w:t>
            </w:r>
          </w:p>
        </w:tc>
      </w:tr>
      <w:tr>
        <w:trPr>
          <w:trHeight w:val="130" w:hRule="atLeast"/>
        </w:trPr>
        <w:tc>
          <w:tcPr>
            <w:tcW w:w="1425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eastAsia="Times New Roman" w:cs="Calibri" w:cstheme="minorHAnsi"/>
                <w:sz w:val="24"/>
                <w:szCs w:val="24"/>
                <w:lang w:eastAsia="de-DE"/>
              </w:rPr>
            </w:pPr>
            <w:r>
              <w:rPr>
                <w:rFonts w:eastAsia="Times New Roman" w:cs="Calibri" w:cstheme="minorHAnsi"/>
                <w:sz w:val="24"/>
                <w:szCs w:val="24"/>
                <w:lang w:eastAsia="de-DE"/>
              </w:rPr>
              <w:t>Brechkoks</w:t>
            </w:r>
          </w:p>
        </w:tc>
        <w:tc>
          <w:tcPr>
            <w:tcW w:w="64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right"/>
              <w:rPr>
                <w:rFonts w:eastAsia="Times New Roman" w:cs="Calibri" w:cstheme="minorHAnsi"/>
                <w:sz w:val="24"/>
                <w:szCs w:val="24"/>
                <w:lang w:eastAsia="de-DE"/>
              </w:rPr>
            </w:pPr>
            <w:r>
              <w:rPr>
                <w:rFonts w:eastAsia="Times New Roman" w:cs="Calibri" w:cstheme="minorHAnsi"/>
                <w:sz w:val="24"/>
                <w:szCs w:val="24"/>
                <w:lang w:eastAsia="de-DE"/>
              </w:rPr>
              <w:t>8,0</w:t>
            </w:r>
          </w:p>
        </w:tc>
        <w:tc>
          <w:tcPr>
            <w:tcW w:w="1177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eastAsia="Times New Roman" w:cs="Calibri" w:cstheme="minorHAnsi"/>
                <w:sz w:val="24"/>
                <w:szCs w:val="24"/>
                <w:lang w:eastAsia="de-DE"/>
              </w:rPr>
            </w:pPr>
            <w:r>
              <w:rPr>
                <w:rFonts w:eastAsia="Times New Roman" w:cs="Calibri" w:cstheme="minorHAnsi"/>
                <w:sz w:val="24"/>
                <w:szCs w:val="24"/>
                <w:lang w:eastAsia="de-DE"/>
              </w:rPr>
              <w:t>kWh/kg</w:t>
            </w:r>
          </w:p>
        </w:tc>
      </w:tr>
      <w:tr>
        <w:trPr>
          <w:trHeight w:val="123" w:hRule="atLeast"/>
        </w:trPr>
        <w:tc>
          <w:tcPr>
            <w:tcW w:w="1425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eastAsia="Times New Roman" w:cs="Calibri" w:cstheme="minorHAnsi"/>
                <w:sz w:val="24"/>
                <w:szCs w:val="24"/>
                <w:lang w:eastAsia="de-DE"/>
              </w:rPr>
            </w:pPr>
            <w:r>
              <w:rPr>
                <w:rFonts w:eastAsia="Times New Roman" w:cs="Calibri" w:cstheme="minorHAnsi"/>
                <w:sz w:val="24"/>
                <w:szCs w:val="24"/>
                <w:lang w:eastAsia="de-DE"/>
              </w:rPr>
            </w:r>
          </w:p>
        </w:tc>
        <w:tc>
          <w:tcPr>
            <w:tcW w:w="64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right"/>
              <w:rPr>
                <w:rFonts w:eastAsia="Times New Roman" w:cs="Calibri" w:cstheme="minorHAnsi"/>
                <w:sz w:val="24"/>
                <w:szCs w:val="24"/>
                <w:lang w:eastAsia="de-DE"/>
              </w:rPr>
            </w:pPr>
            <w:r>
              <w:rPr>
                <w:rFonts w:eastAsia="Times New Roman" w:cs="Calibri" w:cstheme="minorHAnsi"/>
                <w:sz w:val="24"/>
                <w:szCs w:val="24"/>
                <w:lang w:eastAsia="de-DE"/>
              </w:rPr>
            </w:r>
          </w:p>
        </w:tc>
        <w:tc>
          <w:tcPr>
            <w:tcW w:w="1177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eastAsia="Times New Roman" w:cs="Calibri" w:cstheme="minorHAnsi"/>
                <w:sz w:val="24"/>
                <w:szCs w:val="24"/>
                <w:lang w:eastAsia="de-DE"/>
              </w:rPr>
            </w:pPr>
            <w:r>
              <w:rPr>
                <w:rFonts w:eastAsia="Times New Roman" w:cs="Calibri" w:cstheme="minorHAnsi"/>
                <w:sz w:val="24"/>
                <w:szCs w:val="24"/>
                <w:lang w:eastAsia="de-DE"/>
              </w:rPr>
            </w:r>
          </w:p>
        </w:tc>
      </w:tr>
      <w:tr>
        <w:trPr>
          <w:trHeight w:val="130" w:hRule="atLeast"/>
        </w:trPr>
        <w:tc>
          <w:tcPr>
            <w:tcW w:w="1425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eastAsia="Times New Roman" w:cs="Calibri" w:cstheme="minorHAnsi"/>
                <w:sz w:val="24"/>
                <w:szCs w:val="24"/>
                <w:lang w:eastAsia="de-DE"/>
              </w:rPr>
            </w:pPr>
            <w:r>
              <w:rPr>
                <w:rFonts w:eastAsia="Times New Roman" w:cs="Calibri" w:cstheme="minorHAnsi"/>
                <w:sz w:val="24"/>
                <w:szCs w:val="24"/>
                <w:lang w:eastAsia="de-DE"/>
              </w:rPr>
            </w:r>
          </w:p>
        </w:tc>
        <w:tc>
          <w:tcPr>
            <w:tcW w:w="64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right"/>
              <w:rPr>
                <w:rFonts w:eastAsia="Times New Roman" w:cs="Calibri" w:cstheme="minorHAnsi"/>
                <w:sz w:val="24"/>
                <w:szCs w:val="24"/>
                <w:lang w:eastAsia="de-DE"/>
              </w:rPr>
            </w:pPr>
            <w:r>
              <w:rPr>
                <w:rFonts w:eastAsia="Times New Roman" w:cs="Calibri" w:cstheme="minorHAnsi"/>
                <w:sz w:val="24"/>
                <w:szCs w:val="24"/>
                <w:lang w:eastAsia="de-DE"/>
              </w:rPr>
            </w:r>
          </w:p>
        </w:tc>
        <w:tc>
          <w:tcPr>
            <w:tcW w:w="1177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eastAsia="Times New Roman" w:cs="Calibri" w:cstheme="minorHAnsi"/>
                <w:sz w:val="24"/>
                <w:szCs w:val="24"/>
                <w:lang w:eastAsia="de-DE"/>
              </w:rPr>
            </w:pPr>
            <w:r>
              <w:rPr>
                <w:rFonts w:eastAsia="Times New Roman" w:cs="Calibri" w:cstheme="minorHAnsi"/>
                <w:sz w:val="24"/>
                <w:szCs w:val="24"/>
                <w:lang w:eastAsia="de-DE"/>
              </w:rPr>
            </w:r>
          </w:p>
        </w:tc>
      </w:tr>
    </w:tbl>
    <w:p>
      <w:pPr>
        <w:pStyle w:val="Normal"/>
        <w:jc w:val="both"/>
        <w:rPr/>
      </w:pPr>
      <w:r>
        <w:rPr/>
        <w:t>Wärmemenge für Warmwasser: Q = 2,0 x V x (tw -10)</w:t>
      </w:r>
    </w:p>
    <w:p>
      <w:pPr>
        <w:pStyle w:val="Normal"/>
        <w:spacing w:lineRule="auto" w:line="240" w:before="0" w:after="240"/>
        <w:rPr>
          <w:rFonts w:eastAsia="Times New Roman" w:cs="Calibri" w:cstheme="minorHAnsi"/>
          <w:sz w:val="24"/>
          <w:szCs w:val="24"/>
          <w:lang w:eastAsia="de-DE"/>
        </w:rPr>
      </w:pPr>
      <w:r>
        <w:rPr>
          <w:rFonts w:eastAsia="Times New Roman" w:cs="Calibri" w:cstheme="minorHAnsi"/>
          <w:sz w:val="24"/>
          <w:szCs w:val="24"/>
          <w:lang w:eastAsia="de-DE"/>
        </w:rPr>
        <w:t xml:space="preserve">Wenn in Ausnahmefällen weder die Wärmemenge noch das Volumen des verbrauchten Warmwassers gemessen werden können, kann die auf die zentrale Warmwasserversorgungsanlage entfallende Wärmemenge nach folgender Gleichung bestimmt werden </w:t>
      </w:r>
    </w:p>
    <w:tbl>
      <w:tblPr>
        <w:tblW w:w="5000" w:type="pct"/>
        <w:jc w:val="left"/>
        <w:tblInd w:w="0" w:type="dxa"/>
        <w:tblBorders/>
        <w:tblCellMar>
          <w:top w:w="15" w:type="dxa"/>
          <w:left w:w="15" w:type="dxa"/>
          <w:bottom w:w="15" w:type="dxa"/>
          <w:right w:w="15" w:type="dxa"/>
        </w:tblCellMar>
        <w:tblLook w:noVBand="1" w:val="04a0" w:noHBand="0" w:lastColumn="0" w:firstColumn="1" w:lastRow="0" w:firstRow="1"/>
      </w:tblPr>
      <w:tblGrid>
        <w:gridCol w:w="3077"/>
        <w:gridCol w:w="3278"/>
        <w:gridCol w:w="2717"/>
      </w:tblGrid>
      <w:tr>
        <w:trPr/>
        <w:tc>
          <w:tcPr>
            <w:tcW w:w="3077" w:type="dxa"/>
            <w:vMerge w:val="restart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right"/>
              <w:rPr>
                <w:rFonts w:eastAsia="Times New Roman" w:cs="Calibri" w:cstheme="minorHAnsi"/>
                <w:sz w:val="24"/>
                <w:szCs w:val="24"/>
                <w:lang w:eastAsia="de-DE"/>
              </w:rPr>
            </w:pPr>
            <w:r>
              <w:rPr>
                <w:rFonts w:eastAsia="Times New Roman" w:cs="Calibri" w:cstheme="minorHAnsi"/>
                <w:sz w:val="24"/>
                <w:szCs w:val="24"/>
                <w:lang w:eastAsia="de-DE"/>
              </w:rPr>
              <w:t>Q = 32 · </w:t>
            </w:r>
          </w:p>
        </w:tc>
        <w:tc>
          <w:tcPr>
            <w:tcW w:w="3278" w:type="dxa"/>
            <w:tcBorders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eastAsia="Times New Roman" w:cs="Calibri" w:cstheme="minorHAnsi"/>
                <w:sz w:val="24"/>
                <w:szCs w:val="24"/>
                <w:lang w:eastAsia="de-DE"/>
              </w:rPr>
            </w:pPr>
            <w:r>
              <w:rPr>
                <w:rFonts w:eastAsia="Times New Roman" w:cs="Calibri" w:cstheme="minorHAnsi"/>
                <w:sz w:val="24"/>
                <w:szCs w:val="24"/>
                <w:lang w:eastAsia="de-DE"/>
              </w:rPr>
              <w:t>kWh</w:t>
            </w:r>
          </w:p>
        </w:tc>
        <w:tc>
          <w:tcPr>
            <w:tcW w:w="2717" w:type="dxa"/>
            <w:vMerge w:val="restart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eastAsia="Times New Roman" w:cs="Calibri" w:cstheme="minorHAnsi"/>
                <w:sz w:val="24"/>
                <w:szCs w:val="24"/>
                <w:lang w:eastAsia="de-DE"/>
              </w:rPr>
            </w:pPr>
            <w:r>
              <w:rPr>
                <w:rFonts w:eastAsia="Times New Roman" w:cs="Calibri" w:cstheme="minorHAnsi"/>
                <w:sz w:val="24"/>
                <w:szCs w:val="24"/>
                <w:lang w:eastAsia="de-DE"/>
              </w:rPr>
              <w:t> </w:t>
            </w:r>
            <w:r>
              <w:rPr>
                <w:rFonts w:eastAsia="Times New Roman" w:cs="Calibri" w:cstheme="minorHAnsi"/>
                <w:sz w:val="24"/>
                <w:szCs w:val="24"/>
                <w:lang w:eastAsia="de-DE"/>
              </w:rPr>
              <w:t>· A</w:t>
            </w:r>
            <w:r>
              <w:rPr>
                <w:rFonts w:eastAsia="Times New Roman" w:cs="Calibri" w:cstheme="minorHAnsi"/>
                <w:sz w:val="24"/>
                <w:szCs w:val="24"/>
                <w:vertAlign w:val="subscript"/>
                <w:lang w:eastAsia="de-DE"/>
              </w:rPr>
              <w:t>Wohn</w:t>
            </w:r>
          </w:p>
        </w:tc>
      </w:tr>
      <w:tr>
        <w:trPr/>
        <w:tc>
          <w:tcPr>
            <w:tcW w:w="3077" w:type="dxa"/>
            <w:vMerge w:val="continue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eastAsia="Times New Roman" w:cs="Calibri" w:cstheme="minorHAnsi"/>
                <w:sz w:val="24"/>
                <w:szCs w:val="24"/>
                <w:lang w:eastAsia="de-DE"/>
              </w:rPr>
            </w:pPr>
            <w:r>
              <w:rPr>
                <w:rFonts w:eastAsia="Times New Roman" w:cs="Calibri" w:cstheme="minorHAnsi"/>
                <w:sz w:val="24"/>
                <w:szCs w:val="24"/>
                <w:lang w:eastAsia="de-DE"/>
              </w:rPr>
            </w:r>
          </w:p>
        </w:tc>
        <w:tc>
          <w:tcPr>
            <w:tcW w:w="3278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>
                <w:rFonts w:eastAsia="Times New Roman" w:cs="Calibri" w:cstheme="minorHAnsi"/>
                <w:sz w:val="24"/>
                <w:szCs w:val="24"/>
                <w:lang w:eastAsia="de-DE"/>
              </w:rPr>
            </w:pPr>
            <w:r>
              <w:rPr>
                <w:rFonts w:eastAsia="Times New Roman" w:cs="Calibri" w:cstheme="minorHAnsi"/>
                <w:sz w:val="24"/>
                <w:szCs w:val="24"/>
                <w:lang w:eastAsia="de-DE"/>
              </w:rPr>
              <w:t>m</w:t>
            </w:r>
            <w:r>
              <w:rPr>
                <w:rFonts w:eastAsia="Times New Roman" w:cs="Calibri" w:cstheme="minorHAnsi"/>
                <w:sz w:val="24"/>
                <w:szCs w:val="24"/>
                <w:vertAlign w:val="superscript"/>
                <w:lang w:eastAsia="de-DE"/>
              </w:rPr>
              <w:t>2</w:t>
            </w:r>
            <w:r>
              <w:rPr>
                <w:rFonts w:eastAsia="Times New Roman" w:cs="Calibri" w:cstheme="minorHAnsi"/>
                <w:sz w:val="24"/>
                <w:szCs w:val="24"/>
                <w:lang w:eastAsia="de-DE"/>
              </w:rPr>
              <w:t xml:space="preserve"> A</w:t>
            </w:r>
            <w:r>
              <w:rPr>
                <w:rFonts w:eastAsia="Times New Roman" w:cs="Calibri" w:cstheme="minorHAnsi"/>
                <w:sz w:val="24"/>
                <w:szCs w:val="24"/>
                <w:vertAlign w:val="subscript"/>
                <w:lang w:eastAsia="de-DE"/>
              </w:rPr>
              <w:t>Wohn</w:t>
            </w:r>
          </w:p>
        </w:tc>
        <w:tc>
          <w:tcPr>
            <w:tcW w:w="2717" w:type="dxa"/>
            <w:vMerge w:val="continue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eastAsia="Times New Roman" w:cs="Calibri" w:cstheme="minorHAnsi"/>
                <w:sz w:val="24"/>
                <w:szCs w:val="24"/>
                <w:lang w:eastAsia="de-DE"/>
              </w:rPr>
            </w:pPr>
            <w:r>
              <w:rPr>
                <w:rFonts w:eastAsia="Times New Roman" w:cs="Calibri" w:cstheme="minorHAnsi"/>
                <w:sz w:val="24"/>
                <w:szCs w:val="24"/>
                <w:lang w:eastAsia="de-DE"/>
              </w:rPr>
            </w:r>
          </w:p>
        </w:tc>
      </w:tr>
    </w:tbl>
    <w:p>
      <w:pPr>
        <w:pStyle w:val="Normal"/>
        <w:spacing w:lineRule="auto" w:line="240" w:before="0" w:after="0"/>
        <w:rPr>
          <w:rFonts w:eastAsia="Times New Roman" w:cs="Calibri" w:cstheme="minorHAnsi"/>
          <w:sz w:val="24"/>
          <w:szCs w:val="24"/>
          <w:lang w:eastAsia="de-DE"/>
        </w:rPr>
      </w:pPr>
      <w:r>
        <w:rPr>
          <w:rFonts w:eastAsia="Times New Roman" w:cs="Calibri" w:cstheme="minorHAnsi"/>
          <w:sz w:val="24"/>
          <w:szCs w:val="24"/>
          <w:lang w:eastAsia="de-DE"/>
        </w:rPr>
        <w:t>Dabei ist die durch die zentrale Anlage mit Warmwasser versorgte Wohn- oder Nutzfläche (A</w:t>
      </w:r>
      <w:r>
        <w:rPr>
          <w:rFonts w:eastAsia="Times New Roman" w:cs="Calibri" w:cstheme="minorHAnsi"/>
          <w:sz w:val="24"/>
          <w:szCs w:val="24"/>
          <w:vertAlign w:val="subscript"/>
          <w:lang w:eastAsia="de-DE"/>
        </w:rPr>
        <w:t>Wohn</w:t>
      </w:r>
      <w:r>
        <w:rPr>
          <w:rFonts w:eastAsia="Times New Roman" w:cs="Calibri" w:cstheme="minorHAnsi"/>
          <w:sz w:val="24"/>
          <w:szCs w:val="24"/>
          <w:lang w:eastAsia="de-DE"/>
        </w:rPr>
        <w:t xml:space="preserve">) zu Grunde zu legen. Die nach den Gleichungen in Satz 2 oder 4 bestimmte Wärmemenge (Q) ist </w:t>
      </w:r>
    </w:p>
    <w:p>
      <w:pPr>
        <w:pStyle w:val="Normal"/>
        <w:spacing w:lineRule="auto" w:line="240" w:before="0" w:after="0"/>
        <w:rPr>
          <w:rFonts w:eastAsia="Times New Roman" w:cs="Calibri" w:cstheme="minorHAnsi"/>
          <w:sz w:val="24"/>
          <w:szCs w:val="24"/>
          <w:lang w:eastAsia="de-DE"/>
        </w:rPr>
      </w:pPr>
      <w:r>
        <w:rPr>
          <w:rFonts w:eastAsia="Times New Roman" w:cs="Calibri" w:cstheme="minorHAnsi"/>
          <w:sz w:val="24"/>
          <w:szCs w:val="24"/>
          <w:lang w:eastAsia="de-DE"/>
        </w:rPr>
        <w:t>1. bei brennwertbezogener Abrechnung von Erdgas mit 1,11 zu multiplizieren und</w:t>
      </w:r>
    </w:p>
    <w:p>
      <w:pPr>
        <w:pStyle w:val="Normal"/>
        <w:spacing w:lineRule="auto" w:line="240" w:before="0" w:after="0"/>
        <w:rPr>
          <w:rFonts w:eastAsia="Times New Roman" w:cs="Calibri" w:cstheme="minorHAnsi"/>
          <w:sz w:val="24"/>
          <w:szCs w:val="24"/>
          <w:lang w:eastAsia="de-DE"/>
        </w:rPr>
      </w:pPr>
      <w:r>
        <w:rPr>
          <w:rFonts w:eastAsia="Times New Roman" w:cs="Calibri" w:cstheme="minorHAnsi"/>
          <w:sz w:val="24"/>
          <w:szCs w:val="24"/>
          <w:lang w:eastAsia="de-DE"/>
        </w:rPr>
        <w:t>2. bei eigenständiger gewerblicher Wärmelieferung durch 1,15 zu dividieren.</w:t>
      </w:r>
    </w:p>
    <w:p>
      <w:pPr>
        <w:pStyle w:val="Normal"/>
        <w:jc w:val="both"/>
        <w:rPr/>
      </w:pPr>
      <w:r>
        <w:rPr/>
      </w:r>
    </w:p>
    <w:p>
      <w:pPr>
        <w:pStyle w:val="Normal"/>
        <w:jc w:val="both"/>
        <w:rPr/>
      </w:pPr>
      <w:r>
        <w:rPr/>
        <w:t xml:space="preserve">Wenn alle Berechnungsgrundlagen fehlen gelten Erfahrungswerte: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100</m:t>
        </m:r>
        <m:r>
          <m:rPr>
            <m:lit/>
            <m:nor/>
          </m:rPr>
          <w:rPr>
            <w:rFonts w:ascii="Cambria Math" w:hAnsi="Cambria Math"/>
          </w:rPr>
          <m:t xml:space="preserve">%</m:t>
        </m:r>
        <m:r>
          <w:rPr>
            <w:rFonts w:ascii="Cambria Math" w:hAnsi="Cambria Math"/>
          </w:rPr>
          <m:t xml:space="preserve">Gesamtkosten</m:t>
        </m:r>
        <m:r>
          <w:rPr>
            <w:rFonts w:ascii="Cambria Math" w:hAnsi="Cambria Math"/>
          </w:rPr>
          <m:t xml:space="preserve">−</m:t>
        </m:r>
        <m:r>
          <w:rPr>
            <w:rFonts w:ascii="Cambria Math" w:hAnsi="Cambria Math"/>
          </w:rPr>
          <m:t xml:space="preserve">18</m:t>
        </m:r>
        <m:r>
          <m:rPr>
            <m:lit/>
            <m:nor/>
          </m:rPr>
          <w:rPr>
            <w:rFonts w:ascii="Cambria Math" w:hAnsi="Cambria Math"/>
          </w:rPr>
          <m:t xml:space="preserve">%</m:t>
        </m:r>
        <m:r>
          <w:rPr>
            <w:rFonts w:ascii="Cambria Math" w:hAnsi="Cambria Math"/>
          </w:rPr>
          <m:t xml:space="preserve">Warmwasserkosten</m:t>
        </m:r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82</m:t>
        </m:r>
        <m:r>
          <m:rPr>
            <m:lit/>
            <m:nor/>
          </m:rPr>
          <w:rPr>
            <w:rFonts w:ascii="Cambria Math" w:hAnsi="Cambria Math"/>
          </w:rPr>
          <m:t xml:space="preserve">%</m:t>
        </m:r>
        <m:r>
          <w:rPr>
            <w:rFonts w:ascii="Cambria Math" w:hAnsi="Cambria Math"/>
          </w:rPr>
          <m:t xml:space="preserve">Heizkosten</m:t>
        </m:r>
      </m:oMath>
    </w:p>
    <w:p>
      <w:pPr>
        <w:pStyle w:val="Normal"/>
        <w:jc w:val="both"/>
        <w:rPr/>
      </w:pPr>
      <w:r>
        <w:rPr/>
      </w:r>
    </w:p>
    <w:p>
      <w:pPr>
        <w:pStyle w:val="Normal"/>
        <w:jc w:val="both"/>
        <w:rPr>
          <w:b/>
          <w:b/>
        </w:rPr>
      </w:pPr>
      <w:r>
        <w:rPr>
          <w:b/>
        </w:rPr>
        <w:t>Gebäude-Energie-Gesetz:</w:t>
      </w:r>
    </w:p>
    <w:p>
      <w:pPr>
        <w:pStyle w:val="ListParagraph"/>
        <w:numPr>
          <w:ilvl w:val="0"/>
          <w:numId w:val="1"/>
        </w:numPr>
        <w:jc w:val="both"/>
        <w:rPr/>
      </w:pPr>
      <w:r>
        <w:rPr/>
        <w:t xml:space="preserve">Nutzwärmebedarf für Warmwasser ist mit 12,5 kWh/m²a </w:t>
      </w:r>
    </w:p>
    <w:p>
      <w:pPr>
        <w:pStyle w:val="ListParagraph"/>
        <w:ind w:left="142" w:hanging="0"/>
        <w:jc w:val="both"/>
        <w:rPr/>
      </w:pPr>
      <w:r>
        <w:rPr/>
        <w:drawing>
          <wp:inline distT="0" distB="9525" distL="0" distR="0">
            <wp:extent cx="5760720" cy="3571875"/>
            <wp:effectExtent l="0" t="0" r="0" b="0"/>
            <wp:docPr id="1" name="Grafik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Grafik 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ind w:left="142" w:hanging="0"/>
        <w:jc w:val="both"/>
        <w:rPr/>
      </w:pPr>
      <w:r>
        <w:rPr/>
      </w:r>
    </w:p>
    <w:p>
      <w:pPr>
        <w:pStyle w:val="ListParagraph"/>
        <w:ind w:left="142" w:hanging="0"/>
        <w:jc w:val="both"/>
        <w:rPr>
          <w:b/>
          <w:b/>
        </w:rPr>
      </w:pPr>
      <w:r>
        <w:rPr>
          <w:b/>
        </w:rPr>
        <w:t>Unterschiedliche Gebäudestandards:</w:t>
      </w:r>
    </w:p>
    <w:p>
      <w:pPr>
        <w:pStyle w:val="ListParagraph"/>
        <w:numPr>
          <w:ilvl w:val="0"/>
          <w:numId w:val="1"/>
        </w:numPr>
        <w:jc w:val="both"/>
        <w:rPr/>
      </w:pPr>
      <w:r>
        <w:rPr/>
        <w:t>Energiestandard von Passivhäusern</w:t>
      </w:r>
    </w:p>
    <w:p>
      <w:pPr>
        <w:pStyle w:val="ListParagraph"/>
        <w:numPr>
          <w:ilvl w:val="1"/>
          <w:numId w:val="1"/>
        </w:numPr>
        <w:jc w:val="both"/>
        <w:rPr/>
      </w:pPr>
      <w:r>
        <w:rPr/>
        <w:t>Heizenergiebedarf</w:t>
        <w:tab/>
        <w:t>max. 15 kWh/(m2a)</w:t>
      </w:r>
    </w:p>
    <w:p>
      <w:pPr>
        <w:pStyle w:val="ListParagraph"/>
        <w:numPr>
          <w:ilvl w:val="1"/>
          <w:numId w:val="1"/>
        </w:numPr>
        <w:jc w:val="both"/>
        <w:rPr/>
      </w:pPr>
      <w:r>
        <w:rPr/>
        <w:t>Primärenergieverbrauch (für restlichen Heizbedarf, Warmwasserbereitung, Lüftung und Haushaltsstrom)</w:t>
        <w:tab/>
        <w:t>max. 60 kWh/(m2a)</w:t>
      </w:r>
    </w:p>
    <w:p>
      <w:pPr>
        <w:pStyle w:val="ListParagraph"/>
        <w:numPr>
          <w:ilvl w:val="1"/>
          <w:numId w:val="1"/>
        </w:numPr>
        <w:jc w:val="both"/>
        <w:rPr/>
      </w:pPr>
      <w:r>
        <w:rPr/>
        <w:t>Luftwechselrate der Gebäudehülle</w:t>
        <w:tab/>
        <w:t>max. n50=0,6/h</w:t>
      </w:r>
    </w:p>
    <w:p>
      <w:pPr>
        <w:pStyle w:val="ListParagraph"/>
        <w:numPr>
          <w:ilvl w:val="1"/>
          <w:numId w:val="1"/>
        </w:numPr>
        <w:jc w:val="both"/>
        <w:rPr/>
      </w:pPr>
      <w:r>
        <w:rPr/>
        <w:t xml:space="preserve">Wärmerückgewinnung (aus der Abluft)  </w:t>
        <w:tab/>
        <w:t>min. 75 %</w:t>
      </w:r>
    </w:p>
    <w:p>
      <w:pPr>
        <w:pStyle w:val="ListParagraph"/>
        <w:ind w:left="142" w:hanging="0"/>
        <w:jc w:val="both"/>
        <w:rPr/>
      </w:pPr>
      <w:r>
        <w:rPr/>
      </w:r>
    </w:p>
    <w:p>
      <w:pPr>
        <w:pStyle w:val="Normal"/>
        <w:jc w:val="both"/>
        <w:rPr/>
      </w:pPr>
      <w:r>
        <w:rPr/>
        <w:drawing>
          <wp:inline distT="0" distB="0" distL="0" distR="0">
            <wp:extent cx="5760720" cy="4384040"/>
            <wp:effectExtent l="0" t="0" r="0" b="0"/>
            <wp:docPr id="2" name="Grafik 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Grafik 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4384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jc w:val="both"/>
        <w:rPr/>
      </w:pPr>
      <w:r>
        <w:rPr/>
        <w:t>[https://de.wikipedia.org/wiki/Energiestandard]</w:t>
      </w:r>
    </w:p>
    <w:p>
      <w:pPr>
        <w:pStyle w:val="Normal"/>
        <w:jc w:val="both"/>
        <w:rPr/>
      </w:pPr>
      <w:r>
        <w:rPr/>
        <w:t>Österreich (ist EU-Gebäuderichtlinien konform)</w:t>
      </w:r>
    </w:p>
    <w:p>
      <w:pPr>
        <w:pStyle w:val="Normal"/>
        <w:jc w:val="both"/>
        <w:rPr/>
      </w:pPr>
      <w:r>
        <w:rPr/>
        <w:drawing>
          <wp:inline distT="0" distB="0" distL="0" distR="0">
            <wp:extent cx="5760720" cy="2575560"/>
            <wp:effectExtent l="0" t="0" r="0" b="0"/>
            <wp:docPr id="3" name="Grafik 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Grafik 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575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jc w:val="both"/>
        <w:rPr/>
      </w:pPr>
      <w:r>
        <w:rPr/>
      </w:r>
    </w:p>
    <w:p>
      <w:pPr>
        <w:pStyle w:val="Normal"/>
        <w:jc w:val="both"/>
        <w:rPr>
          <w:b/>
          <w:b/>
        </w:rPr>
      </w:pPr>
      <w:r>
        <w:rPr>
          <w:b/>
        </w:rPr>
        <w:t>Studien Pariskonforme Gebäude:</w:t>
      </w:r>
    </w:p>
    <w:p>
      <w:pPr>
        <w:pStyle w:val="ListParagraph"/>
        <w:numPr>
          <w:ilvl w:val="0"/>
          <w:numId w:val="1"/>
        </w:numPr>
        <w:jc w:val="both"/>
        <w:rPr/>
      </w:pPr>
      <w:r>
        <w:rPr/>
        <w:t>Dena Gebäudereport &amp; Dena Gebäudestudie</w:t>
      </w:r>
    </w:p>
    <w:p>
      <w:pPr>
        <w:pStyle w:val="ListParagraph"/>
        <w:numPr>
          <w:ilvl w:val="0"/>
          <w:numId w:val="1"/>
        </w:numPr>
        <w:jc w:val="both"/>
        <w:rPr/>
      </w:pPr>
      <w:r>
        <w:rPr/>
        <w:t xml:space="preserve">Evtl Bernd Hirschl vom IÖW kontaktieren, der scheint am Projekt „Gebäude-Energiewende“ mitzuarbeiten. Hab da aber keine für uns gute konkrete Zahlen in den Veröffentlichungen zu </w:t>
      </w:r>
      <w:bookmarkStart w:id="0" w:name="_GoBack"/>
      <w:bookmarkEnd w:id="0"/>
      <w:r>
        <w:rPr/>
        <w:t xml:space="preserve">gefunden, aber die müssen die ja irgendwie gehabt haben um Empfehlungen für die Wärmeversorgung in Berlin zu schreiben </w:t>
      </w:r>
    </w:p>
    <w:p>
      <w:pPr>
        <w:pStyle w:val="ListParagraph"/>
        <w:jc w:val="both"/>
        <w:rPr/>
      </w:pPr>
      <w:r>
        <w:rPr/>
      </w:r>
    </w:p>
    <w:p>
      <w:pPr>
        <w:pStyle w:val="ListParagraph"/>
        <w:jc w:val="both"/>
        <w:rPr/>
      </w:pPr>
      <w:r>
        <w:rPr/>
      </w:r>
    </w:p>
    <w:p>
      <w:pPr>
        <w:pStyle w:val="ListParagraph"/>
        <w:jc w:val="both"/>
        <w:rPr/>
      </w:pPr>
      <w:r>
        <w:rPr/>
        <w:t xml:space="preserve">Kostenlose Testlizenz für BHKW-Auslegung: Vergleichslastgänge: </w:t>
      </w:r>
    </w:p>
    <w:p>
      <w:pPr>
        <w:pStyle w:val="ListParagraph"/>
        <w:spacing w:before="0" w:after="160"/>
        <w:contextualSpacing/>
        <w:jc w:val="both"/>
        <w:rPr/>
      </w:pPr>
      <w:r>
        <w:rPr/>
        <w:t>https://www.erfurth-braunholz.de/index.php/kontakt</w:t>
      </w:r>
    </w:p>
    <w:sectPr>
      <w:type w:val="nextPage"/>
      <w:pgSz w:w="11906" w:h="16838"/>
      <w:pgMar w:left="1417" w:right="1417" w:header="0" w:top="1417" w:footer="0" w:bottom="1134" w:gutter="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variable"/>
  </w:font>
  <w:font w:name="Calibri">
    <w:charset w:val="01"/>
    <w:family w:val="auto"/>
    <w:pitch w:val="default"/>
  </w:font>
  <w:font w:name="Courier New">
    <w:charset w:val="01"/>
    <w:family w:val="auto"/>
    <w:pitch w:val="default"/>
  </w:font>
  <w:font w:name="Wingdings">
    <w:charset w:val="02"/>
    <w:family w:val="auto"/>
    <w:pitch w:val="default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numFmt w:val="bullet"/>
      <w:lvlText w:val="-"/>
      <w:lvlJc w:val="left"/>
      <w:pPr>
        <w:ind w:left="720" w:hanging="360"/>
      </w:pPr>
      <w:rPr>
        <w:rFonts w:ascii="Calibri" w:hAnsi="Calibri" w:cs="Calibri" w:hint="default"/>
        <w:rFonts w:cs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rFonts w:cs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  <w:rFonts w:cs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  <w:rFonts w:cs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80"/>
  <w:defaultTabStop w:val="708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de-DE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de-DE" w:eastAsia="en-US" w:bidi="ar-SA"/>
      </w:rPr>
    </w:rPrDefault>
    <w:pPrDefault>
      <w:pPr/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de-DE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Inv" w:customStyle="1">
    <w:name w:val="inv"/>
    <w:basedOn w:val="DefaultParagraphFont"/>
    <w:qFormat/>
    <w:rsid w:val="006522f2"/>
    <w:rPr/>
  </w:style>
  <w:style w:type="character" w:styleId="PlaceholderText">
    <w:name w:val="Placeholder Text"/>
    <w:basedOn w:val="DefaultParagraphFont"/>
    <w:uiPriority w:val="99"/>
    <w:semiHidden/>
    <w:qFormat/>
    <w:rsid w:val="006522f2"/>
    <w:rPr>
      <w:color w:val="808080"/>
    </w:rPr>
  </w:style>
  <w:style w:type="character" w:styleId="ListLabel1">
    <w:name w:val="ListLabel 1"/>
    <w:qFormat/>
    <w:rPr>
      <w:rFonts w:eastAsia="Calibri" w:cs="Calibri"/>
    </w:rPr>
  </w:style>
  <w:style w:type="character" w:styleId="ListLabel2">
    <w:name w:val="ListLabel 2"/>
    <w:qFormat/>
    <w:rPr>
      <w:rFonts w:cs="Courier New"/>
    </w:rPr>
  </w:style>
  <w:style w:type="character" w:styleId="ListLabel3">
    <w:name w:val="ListLabel 3"/>
    <w:qFormat/>
    <w:rPr>
      <w:rFonts w:cs="Courier New"/>
    </w:rPr>
  </w:style>
  <w:style w:type="character" w:styleId="ListLabel4">
    <w:name w:val="ListLabel 4"/>
    <w:qFormat/>
    <w:rPr>
      <w:rFonts w:cs="Courier New"/>
    </w:rPr>
  </w:style>
  <w:style w:type="paragraph" w:styleId="Berschrift">
    <w:name w:val="Überschrift"/>
    <w:basedOn w:val="Normal"/>
    <w:next w:val="Textkrper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krper">
    <w:name w:val="Body Text"/>
    <w:basedOn w:val="Normal"/>
    <w:pPr>
      <w:spacing w:lineRule="auto" w:line="276" w:before="0" w:after="140"/>
    </w:pPr>
    <w:rPr/>
  </w:style>
  <w:style w:type="paragraph" w:styleId="Liste">
    <w:name w:val="List"/>
    <w:basedOn w:val="Textkrper"/>
    <w:pPr/>
    <w:rPr>
      <w:rFonts w:cs="Lohit Devanagari"/>
    </w:rPr>
  </w:style>
  <w:style w:type="paragraph" w:styleId="Beschriftung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Verzeichnis">
    <w:name w:val="Verzeichnis"/>
    <w:basedOn w:val="Normal"/>
    <w:qFormat/>
    <w:pPr>
      <w:suppressLineNumbers/>
    </w:pPr>
    <w:rPr>
      <w:rFonts w:cs="Lohit Devanagari"/>
    </w:rPr>
  </w:style>
  <w:style w:type="paragraph" w:styleId="ListParagraph">
    <w:name w:val="List Paragraph"/>
    <w:basedOn w:val="Normal"/>
    <w:uiPriority w:val="34"/>
    <w:qFormat/>
    <w:rsid w:val="006a6add"/>
    <w:pPr>
      <w:spacing w:before="0" w:after="160"/>
      <w:ind w:left="720" w:hanging="0"/>
      <w:contextualSpacing/>
    </w:pPr>
    <w:rPr/>
  </w:style>
  <w:style w:type="paragraph" w:styleId="NormalWeb">
    <w:name w:val="Normal (Web)"/>
    <w:basedOn w:val="Normal"/>
    <w:uiPriority w:val="99"/>
    <w:semiHidden/>
    <w:unhideWhenUsed/>
    <w:qFormat/>
    <w:rsid w:val="006522f2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de-DE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Application>LibreOffice/6.0.7.3$Linux_X86_64 LibreOffice_project/00m0$Build-3</Application>
  <Pages>4</Pages>
  <Words>447</Words>
  <Characters>2906</Characters>
  <CharactersWithSpaces>3281</CharactersWithSpaces>
  <Paragraphs>63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2021-02-15T09:20:00Z</dcterms:created>
  <dc:creator>Avia Linke</dc:creator>
  <dc:description/>
  <dc:language>de-DE</dc:language>
  <cp:lastModifiedBy/>
  <dcterms:modified xsi:type="dcterms:W3CDTF">2021-02-15T15:06:39Z</dcterms:modified>
  <cp:revision>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0</vt:bool>
  </property>
  <property fmtid="{D5CDD505-2E9C-101B-9397-08002B2CF9AE}" pid="5" name="LinksUpToDate">
    <vt:bool>0</vt:bool>
  </property>
  <property fmtid="{D5CDD505-2E9C-101B-9397-08002B2CF9AE}" pid="6" name="ScaleCrop">
    <vt:bool>0</vt:bool>
  </property>
  <property fmtid="{D5CDD505-2E9C-101B-9397-08002B2CF9AE}" pid="7" name="ShareDoc">
    <vt:bool>0</vt:bool>
  </property>
</Properties>
</file>