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3BA23" w14:textId="6056C4C1" w:rsidR="00D21D9C" w:rsidRPr="00D21D9C" w:rsidRDefault="00D21D9C" w:rsidP="00D21D9C">
      <w:pPr>
        <w:pStyle w:val="paragraph"/>
        <w:spacing w:before="0" w:beforeAutospacing="0" w:after="0" w:afterAutospacing="0"/>
        <w:jc w:val="center"/>
        <w:textAlignment w:val="baseline"/>
        <w:rPr>
          <w:sz w:val="14"/>
          <w:szCs w:val="14"/>
          <w:lang w:val="es-US"/>
        </w:rPr>
      </w:pPr>
      <w:r w:rsidRPr="00D21D9C">
        <w:rPr>
          <w:rStyle w:val="normaltextrun"/>
          <w:sz w:val="48"/>
          <w:szCs w:val="48"/>
          <w:lang w:val="es-US"/>
        </w:rPr>
        <w:t>Predicción de Commodities usando series temporales</w:t>
      </w:r>
    </w:p>
    <w:p w14:paraId="4AE8B186" w14:textId="77777777" w:rsidR="00D21D9C" w:rsidRPr="00D21D9C" w:rsidRDefault="00D21D9C" w:rsidP="00D21D9C">
      <w:pPr>
        <w:pStyle w:val="paragraph"/>
        <w:spacing w:before="0" w:beforeAutospacing="0" w:after="0" w:afterAutospacing="0"/>
        <w:jc w:val="center"/>
        <w:textAlignment w:val="baseline"/>
        <w:rPr>
          <w:sz w:val="18"/>
          <w:szCs w:val="18"/>
          <w:lang w:val="es-US"/>
        </w:rPr>
      </w:pPr>
      <w:r w:rsidRPr="00D21D9C">
        <w:rPr>
          <w:rStyle w:val="normaltextrun"/>
          <w:lang w:val="es-US"/>
        </w:rPr>
        <w:t>Universidad del Valle de Guatemala</w:t>
      </w:r>
    </w:p>
    <w:p w14:paraId="5BEF2F3B" w14:textId="77777777" w:rsidR="00D21D9C" w:rsidRPr="00D21D9C" w:rsidRDefault="00D21D9C" w:rsidP="00D21D9C">
      <w:pPr>
        <w:pStyle w:val="paragraph"/>
        <w:spacing w:before="0" w:beforeAutospacing="0" w:after="0" w:afterAutospacing="0"/>
        <w:jc w:val="center"/>
        <w:textAlignment w:val="baseline"/>
        <w:rPr>
          <w:sz w:val="18"/>
          <w:szCs w:val="18"/>
          <w:lang w:val="es-US"/>
        </w:rPr>
      </w:pPr>
      <w:r w:rsidRPr="00D21D9C">
        <w:rPr>
          <w:rStyle w:val="normaltextrun"/>
          <w:lang w:val="es-US"/>
        </w:rPr>
        <w:t>Ciencia de Datos, sección 10</w:t>
      </w:r>
    </w:p>
    <w:p w14:paraId="01F3C434" w14:textId="248250DD" w:rsidR="00D21D9C" w:rsidRPr="00D21D9C" w:rsidRDefault="00D21D9C" w:rsidP="00D21D9C">
      <w:pPr>
        <w:pStyle w:val="paragraph"/>
        <w:tabs>
          <w:tab w:val="center" w:pos="4419"/>
          <w:tab w:val="left" w:pos="6876"/>
        </w:tabs>
        <w:spacing w:before="0" w:beforeAutospacing="0" w:after="0" w:afterAutospacing="0"/>
        <w:textAlignment w:val="baseline"/>
        <w:rPr>
          <w:sz w:val="18"/>
          <w:szCs w:val="18"/>
          <w:lang w:val="es-US"/>
        </w:rPr>
      </w:pPr>
      <w:r w:rsidRPr="00D21D9C">
        <w:rPr>
          <w:rStyle w:val="normaltextrun"/>
          <w:lang w:val="es-US"/>
        </w:rPr>
        <w:tab/>
        <w:t>Castellanos, I; Pérez, M.; Rodríguez R. y Toledo, K.</w:t>
      </w:r>
    </w:p>
    <w:p w14:paraId="58833882" w14:textId="5E843602" w:rsidR="00D21D9C" w:rsidRPr="00D21D9C" w:rsidRDefault="00D21D9C" w:rsidP="00D21D9C">
      <w:pPr>
        <w:pStyle w:val="Ttulo1"/>
        <w:rPr>
          <w:rFonts w:ascii="Times New Roman" w:hAnsi="Times New Roman" w:cs="Times New Roman"/>
          <w:lang w:val="es-US"/>
        </w:rPr>
      </w:pPr>
      <w:r w:rsidRPr="00D21D9C">
        <w:rPr>
          <w:rFonts w:ascii="Times New Roman" w:hAnsi="Times New Roman" w:cs="Times New Roman"/>
          <w:lang w:val="es-US"/>
        </w:rPr>
        <w:t>Introducción</w:t>
      </w:r>
    </w:p>
    <w:p w14:paraId="5959F140" w14:textId="2FD81C0F" w:rsidR="00AF7B50" w:rsidRPr="00D21D9C" w:rsidRDefault="00AF7B50" w:rsidP="00AF7B50">
      <w:pPr>
        <w:jc w:val="both"/>
        <w:rPr>
          <w:rFonts w:ascii="Times New Roman" w:hAnsi="Times New Roman" w:cs="Times New Roman"/>
          <w:lang w:val="es-US"/>
        </w:rPr>
      </w:pPr>
      <w:r>
        <w:rPr>
          <w:rFonts w:ascii="Times New Roman" w:hAnsi="Times New Roman" w:cs="Times New Roman"/>
          <w:lang w:val="es-US"/>
        </w:rPr>
        <w:t>Debido a que el conjunto de datos se trata de commodities y estos so</w:t>
      </w:r>
      <w:r w:rsidR="005F5BDC">
        <w:rPr>
          <w:rFonts w:ascii="Times New Roman" w:hAnsi="Times New Roman" w:cs="Times New Roman"/>
          <w:lang w:val="es-US"/>
        </w:rPr>
        <w:t>n conocidos por su alta volatilidad, un modelo de volatilidad puede ser una opción viable para realizar predicciones (</w:t>
      </w:r>
      <w:r w:rsidR="005F5BDC" w:rsidRPr="005F5BDC">
        <w:rPr>
          <w:rFonts w:ascii="Times New Roman" w:hAnsi="Times New Roman" w:cs="Times New Roman"/>
          <w:lang w:val="es-US"/>
        </w:rPr>
        <w:t>Mohommad</w:t>
      </w:r>
      <w:r w:rsidR="005F5BDC">
        <w:rPr>
          <w:rFonts w:ascii="Times New Roman" w:hAnsi="Times New Roman" w:cs="Times New Roman"/>
          <w:lang w:val="es-US"/>
        </w:rPr>
        <w:t xml:space="preserve"> y cía;</w:t>
      </w:r>
      <w:r w:rsidR="005F5BDC" w:rsidRPr="005F5BDC">
        <w:rPr>
          <w:rFonts w:ascii="Times New Roman" w:hAnsi="Times New Roman" w:cs="Times New Roman"/>
          <w:lang w:val="es-US"/>
        </w:rPr>
        <w:t xml:space="preserve"> 2023)</w:t>
      </w:r>
      <w:r w:rsidR="005F5BDC">
        <w:rPr>
          <w:rFonts w:ascii="Times New Roman" w:hAnsi="Times New Roman" w:cs="Times New Roman"/>
          <w:lang w:val="es-US"/>
        </w:rPr>
        <w:t>.</w:t>
      </w:r>
    </w:p>
    <w:p w14:paraId="3AF623B1" w14:textId="648FA97E" w:rsidR="009729A3" w:rsidRDefault="00D14A28" w:rsidP="00D14A28">
      <w:pPr>
        <w:jc w:val="both"/>
        <w:rPr>
          <w:rFonts w:ascii="Times New Roman" w:hAnsi="Times New Roman" w:cs="Times New Roman"/>
          <w:lang w:val="es-US"/>
        </w:rPr>
      </w:pPr>
      <w:r>
        <w:rPr>
          <w:rFonts w:ascii="Times New Roman" w:hAnsi="Times New Roman" w:cs="Times New Roman"/>
          <w:lang w:val="es-US"/>
        </w:rPr>
        <w:t>Para estos modelos suele recomendarse hacer transformaciones logarítmicas y medir la media, mediana, desviación estándar, curtosis, sesgo, autocorrelación</w:t>
      </w:r>
      <w:r w:rsidR="009729A3">
        <w:rPr>
          <w:rFonts w:ascii="Times New Roman" w:hAnsi="Times New Roman" w:cs="Times New Roman"/>
          <w:lang w:val="es-US"/>
        </w:rPr>
        <w:t xml:space="preserve"> y heterocedasticidad (</w:t>
      </w:r>
      <w:r w:rsidR="009729A3" w:rsidRPr="00AF7B50">
        <w:rPr>
          <w:rFonts w:ascii="Times New Roman" w:hAnsi="Times New Roman" w:cs="Times New Roman"/>
        </w:rPr>
        <w:t>De Jesús-Gutiérrez</w:t>
      </w:r>
      <w:r w:rsidR="009729A3">
        <w:rPr>
          <w:rFonts w:ascii="Times New Roman" w:hAnsi="Times New Roman" w:cs="Times New Roman"/>
        </w:rPr>
        <w:t xml:space="preserve">, </w:t>
      </w:r>
      <w:r w:rsidR="009729A3" w:rsidRPr="00AF7B50">
        <w:rPr>
          <w:rFonts w:ascii="Times New Roman" w:hAnsi="Times New Roman" w:cs="Times New Roman"/>
        </w:rPr>
        <w:t>2023)</w:t>
      </w:r>
      <w:r w:rsidR="009729A3" w:rsidRPr="00AF7B50">
        <w:rPr>
          <w:rFonts w:ascii="Times New Roman" w:hAnsi="Times New Roman" w:cs="Times New Roman"/>
          <w:lang w:val="es-US"/>
        </w:rPr>
        <w:t>.</w:t>
      </w:r>
    </w:p>
    <w:p w14:paraId="5AC06AFA" w14:textId="2A401DB9" w:rsidR="00061B7B" w:rsidRDefault="00061B7B" w:rsidP="00D14A28">
      <w:pPr>
        <w:jc w:val="both"/>
        <w:rPr>
          <w:rFonts w:ascii="Times New Roman" w:hAnsi="Times New Roman" w:cs="Times New Roman"/>
          <w:lang w:val="es-US"/>
        </w:rPr>
      </w:pPr>
      <w:r w:rsidRPr="00061B7B">
        <w:rPr>
          <w:rFonts w:ascii="Times New Roman" w:hAnsi="Times New Roman" w:cs="Times New Roman"/>
          <w:lang w:val="es-US"/>
        </w:rPr>
        <w:t xml:space="preserve">La generalización </w:t>
      </w:r>
      <w:r>
        <w:rPr>
          <w:rFonts w:ascii="Times New Roman" w:hAnsi="Times New Roman" w:cs="Times New Roman"/>
          <w:lang w:val="es-US"/>
        </w:rPr>
        <w:t>de</w:t>
      </w:r>
      <w:r w:rsidRPr="00061B7B">
        <w:rPr>
          <w:rFonts w:ascii="Times New Roman" w:hAnsi="Times New Roman" w:cs="Times New Roman"/>
          <w:lang w:val="es-US"/>
        </w:rPr>
        <w:t xml:space="preserve">l caso multivariado de los modelos de volatilidad condicional (GARCH) univariados </w:t>
      </w:r>
      <w:r>
        <w:rPr>
          <w:rFonts w:ascii="Times New Roman" w:hAnsi="Times New Roman" w:cs="Times New Roman"/>
          <w:lang w:val="es-US"/>
        </w:rPr>
        <w:t>se usa para analizar</w:t>
      </w:r>
      <w:r w:rsidRPr="00061B7B">
        <w:rPr>
          <w:rFonts w:ascii="Times New Roman" w:hAnsi="Times New Roman" w:cs="Times New Roman"/>
          <w:lang w:val="es-US"/>
        </w:rPr>
        <w:t xml:space="preserve"> la interrelación de las volatilidades de los mercados financieros. </w:t>
      </w:r>
      <w:r>
        <w:rPr>
          <w:rFonts w:ascii="Times New Roman" w:hAnsi="Times New Roman" w:cs="Times New Roman"/>
          <w:lang w:val="es-US"/>
        </w:rPr>
        <w:t>Este modelo, enfrenta</w:t>
      </w:r>
      <w:r w:rsidRPr="00061B7B">
        <w:rPr>
          <w:rFonts w:ascii="Times New Roman" w:hAnsi="Times New Roman" w:cs="Times New Roman"/>
          <w:lang w:val="es-US"/>
        </w:rPr>
        <w:t xml:space="preserve"> la maldición de la dimensión, </w:t>
      </w:r>
      <w:r>
        <w:rPr>
          <w:rFonts w:ascii="Times New Roman" w:hAnsi="Times New Roman" w:cs="Times New Roman"/>
          <w:lang w:val="es-US"/>
        </w:rPr>
        <w:t>ya que el número</w:t>
      </w:r>
      <w:r w:rsidRPr="00061B7B">
        <w:rPr>
          <w:rFonts w:ascii="Times New Roman" w:hAnsi="Times New Roman" w:cs="Times New Roman"/>
          <w:lang w:val="es-US"/>
        </w:rPr>
        <w:t xml:space="preserve"> de parámetros</w:t>
      </w:r>
      <w:r>
        <w:rPr>
          <w:rFonts w:ascii="Times New Roman" w:hAnsi="Times New Roman" w:cs="Times New Roman"/>
          <w:lang w:val="es-US"/>
        </w:rPr>
        <w:t xml:space="preserve"> </w:t>
      </w:r>
      <w:r w:rsidRPr="00061B7B">
        <w:rPr>
          <w:rFonts w:ascii="Times New Roman" w:hAnsi="Times New Roman" w:cs="Times New Roman"/>
          <w:lang w:val="es-US"/>
        </w:rPr>
        <w:t xml:space="preserve">crece más rápidamente que el número de variables en el modelo. </w:t>
      </w:r>
      <w:r w:rsidR="008313F6">
        <w:rPr>
          <w:rFonts w:ascii="Times New Roman" w:hAnsi="Times New Roman" w:cs="Times New Roman"/>
          <w:lang w:val="es-US"/>
        </w:rPr>
        <w:t>Además</w:t>
      </w:r>
      <w:r w:rsidRPr="00061B7B">
        <w:rPr>
          <w:rFonts w:ascii="Times New Roman" w:hAnsi="Times New Roman" w:cs="Times New Roman"/>
          <w:lang w:val="es-US"/>
        </w:rPr>
        <w:t>, requiere que la matriz de varianzas–covarianzas sea definida positiva</w:t>
      </w:r>
      <w:r w:rsidR="008313F6">
        <w:rPr>
          <w:rFonts w:ascii="Times New Roman" w:hAnsi="Times New Roman" w:cs="Times New Roman"/>
          <w:lang w:val="es-US"/>
        </w:rPr>
        <w:t xml:space="preserve"> (</w:t>
      </w:r>
      <w:r w:rsidR="008313F6" w:rsidRPr="008313F6">
        <w:rPr>
          <w:rFonts w:ascii="Times New Roman" w:hAnsi="Times New Roman" w:cs="Times New Roman"/>
        </w:rPr>
        <w:t>López</w:t>
      </w:r>
      <w:r w:rsidR="008313F6">
        <w:rPr>
          <w:rFonts w:ascii="Times New Roman" w:hAnsi="Times New Roman" w:cs="Times New Roman"/>
        </w:rPr>
        <w:t xml:space="preserve">, </w:t>
      </w:r>
      <w:r w:rsidR="008313F6" w:rsidRPr="008313F6">
        <w:rPr>
          <w:rFonts w:ascii="Times New Roman" w:hAnsi="Times New Roman" w:cs="Times New Roman"/>
        </w:rPr>
        <w:t>Ortiz</w:t>
      </w:r>
      <w:r w:rsidR="008313F6">
        <w:rPr>
          <w:rFonts w:ascii="Times New Roman" w:hAnsi="Times New Roman" w:cs="Times New Roman"/>
        </w:rPr>
        <w:t xml:space="preserve"> y</w:t>
      </w:r>
      <w:r w:rsidR="008313F6" w:rsidRPr="008313F6">
        <w:rPr>
          <w:rFonts w:ascii="Times New Roman" w:hAnsi="Times New Roman" w:cs="Times New Roman"/>
        </w:rPr>
        <w:t xml:space="preserve"> Cabello,</w:t>
      </w:r>
      <w:r w:rsidR="008313F6">
        <w:rPr>
          <w:rFonts w:ascii="Times New Roman" w:hAnsi="Times New Roman" w:cs="Times New Roman"/>
        </w:rPr>
        <w:t xml:space="preserve"> 2009</w:t>
      </w:r>
      <w:r w:rsidR="008313F6">
        <w:rPr>
          <w:rFonts w:ascii="Times New Roman" w:hAnsi="Times New Roman" w:cs="Times New Roman"/>
          <w:lang w:val="es-US"/>
        </w:rPr>
        <w:t>)</w:t>
      </w:r>
      <w:r w:rsidRPr="00061B7B">
        <w:rPr>
          <w:rFonts w:ascii="Times New Roman" w:hAnsi="Times New Roman" w:cs="Times New Roman"/>
          <w:lang w:val="es-US"/>
        </w:rPr>
        <w:t>.</w:t>
      </w:r>
    </w:p>
    <w:p w14:paraId="4CFED24A" w14:textId="2F1043DE" w:rsidR="00FC3B57" w:rsidRDefault="00FC3B57" w:rsidP="00D14A28">
      <w:pPr>
        <w:jc w:val="both"/>
        <w:rPr>
          <w:rFonts w:ascii="Times New Roman" w:hAnsi="Times New Roman" w:cs="Times New Roman"/>
          <w:lang w:val="es-US"/>
        </w:rPr>
      </w:pPr>
      <w:r w:rsidRPr="00FC3B57">
        <w:rPr>
          <w:rFonts w:ascii="Times New Roman" w:hAnsi="Times New Roman" w:cs="Times New Roman"/>
          <w:lang w:val="es-US"/>
        </w:rPr>
        <w:t xml:space="preserve">En el análisis exploratorio es importante estudiar las relaciones entre los retornos de distintos commodities, </w:t>
      </w:r>
      <w:r>
        <w:rPr>
          <w:rFonts w:ascii="Times New Roman" w:hAnsi="Times New Roman" w:cs="Times New Roman"/>
          <w:lang w:val="es-US"/>
        </w:rPr>
        <w:t>por</w:t>
      </w:r>
      <w:r w:rsidRPr="00FC3B57">
        <w:rPr>
          <w:rFonts w:ascii="Times New Roman" w:hAnsi="Times New Roman" w:cs="Times New Roman"/>
          <w:lang w:val="es-US"/>
        </w:rPr>
        <w:t xml:space="preserve">que algunos mercados </w:t>
      </w:r>
      <w:r>
        <w:rPr>
          <w:rFonts w:ascii="Times New Roman" w:hAnsi="Times New Roman" w:cs="Times New Roman"/>
          <w:lang w:val="es-US"/>
        </w:rPr>
        <w:t>incorporan</w:t>
      </w:r>
      <w:r w:rsidRPr="00FC3B57">
        <w:rPr>
          <w:rFonts w:ascii="Times New Roman" w:hAnsi="Times New Roman" w:cs="Times New Roman"/>
          <w:lang w:val="es-US"/>
        </w:rPr>
        <w:t xml:space="preserve"> información antes que otros. Estas relaciones permiten evaluar si los movimientos pasados de un commodity contienen información para anticipar </w:t>
      </w:r>
      <w:r>
        <w:rPr>
          <w:rFonts w:ascii="Times New Roman" w:hAnsi="Times New Roman" w:cs="Times New Roman"/>
          <w:lang w:val="es-US"/>
        </w:rPr>
        <w:t>el</w:t>
      </w:r>
      <w:r w:rsidRPr="00FC3B57">
        <w:rPr>
          <w:rFonts w:ascii="Times New Roman" w:hAnsi="Times New Roman" w:cs="Times New Roman"/>
          <w:lang w:val="es-US"/>
        </w:rPr>
        <w:t xml:space="preserve"> futuro de otro. </w:t>
      </w:r>
      <w:r>
        <w:rPr>
          <w:rFonts w:ascii="Times New Roman" w:hAnsi="Times New Roman" w:cs="Times New Roman"/>
          <w:lang w:val="es-US"/>
        </w:rPr>
        <w:t>E</w:t>
      </w:r>
      <w:r w:rsidRPr="00FC3B57">
        <w:rPr>
          <w:rFonts w:ascii="Times New Roman" w:hAnsi="Times New Roman" w:cs="Times New Roman"/>
          <w:lang w:val="es-US"/>
        </w:rPr>
        <w:t>stas relaciones pueden aportar capacidad predictiva, especialmente entre commodities económicamente relacionados. Por</w:t>
      </w:r>
      <w:r>
        <w:rPr>
          <w:rFonts w:ascii="Times New Roman" w:hAnsi="Times New Roman" w:cs="Times New Roman"/>
          <w:lang w:val="es-US"/>
        </w:rPr>
        <w:t xml:space="preserve"> esta razón</w:t>
      </w:r>
      <w:r w:rsidRPr="00FC3B57">
        <w:rPr>
          <w:rFonts w:ascii="Times New Roman" w:hAnsi="Times New Roman" w:cs="Times New Roman"/>
          <w:lang w:val="es-US"/>
        </w:rPr>
        <w:t xml:space="preserve"> conviene analizar correlaciones contemporáneas y rezagadas entre las series</w:t>
      </w:r>
      <w:r w:rsidR="002645B6">
        <w:rPr>
          <w:rFonts w:ascii="Times New Roman" w:hAnsi="Times New Roman" w:cs="Times New Roman"/>
          <w:lang w:val="es-US"/>
        </w:rPr>
        <w:t xml:space="preserve"> y</w:t>
      </w:r>
      <w:r>
        <w:rPr>
          <w:rFonts w:ascii="Times New Roman" w:hAnsi="Times New Roman" w:cs="Times New Roman"/>
          <w:lang w:val="es-US"/>
        </w:rPr>
        <w:t xml:space="preserve"> si se</w:t>
      </w:r>
      <w:r w:rsidRPr="00FC3B57">
        <w:rPr>
          <w:rFonts w:ascii="Times New Roman" w:hAnsi="Times New Roman" w:cs="Times New Roman"/>
          <w:lang w:val="es-US"/>
        </w:rPr>
        <w:t xml:space="preserve"> mantien</w:t>
      </w:r>
      <w:r>
        <w:rPr>
          <w:rFonts w:ascii="Times New Roman" w:hAnsi="Times New Roman" w:cs="Times New Roman"/>
          <w:lang w:val="es-US"/>
        </w:rPr>
        <w:t>en</w:t>
      </w:r>
      <w:r w:rsidRPr="00FC3B57">
        <w:rPr>
          <w:rFonts w:ascii="Times New Roman" w:hAnsi="Times New Roman" w:cs="Times New Roman"/>
          <w:lang w:val="es-US"/>
        </w:rPr>
        <w:t xml:space="preserve"> estable</w:t>
      </w:r>
      <w:r>
        <w:rPr>
          <w:rFonts w:ascii="Times New Roman" w:hAnsi="Times New Roman" w:cs="Times New Roman"/>
          <w:lang w:val="es-US"/>
        </w:rPr>
        <w:t>s</w:t>
      </w:r>
      <w:r w:rsidRPr="00FC3B57">
        <w:rPr>
          <w:rFonts w:ascii="Times New Roman" w:hAnsi="Times New Roman" w:cs="Times New Roman"/>
          <w:lang w:val="es-US"/>
        </w:rPr>
        <w:t xml:space="preserve"> a lo largo del tiempo</w:t>
      </w:r>
      <w:r w:rsidR="0036296D">
        <w:rPr>
          <w:rFonts w:ascii="Times New Roman" w:hAnsi="Times New Roman" w:cs="Times New Roman"/>
          <w:lang w:val="es-US"/>
        </w:rPr>
        <w:t xml:space="preserve"> (</w:t>
      </w:r>
      <w:r w:rsidR="0036296D" w:rsidRPr="0036296D">
        <w:rPr>
          <w:rFonts w:ascii="Times New Roman" w:hAnsi="Times New Roman" w:cs="Times New Roman"/>
          <w:lang w:val="es-US"/>
        </w:rPr>
        <w:t>Li,</w:t>
      </w:r>
      <w:r w:rsidR="0036296D">
        <w:rPr>
          <w:rFonts w:ascii="Times New Roman" w:hAnsi="Times New Roman" w:cs="Times New Roman"/>
          <w:lang w:val="es-US"/>
        </w:rPr>
        <w:t xml:space="preserve"> y cía., </w:t>
      </w:r>
      <w:r w:rsidR="0036296D" w:rsidRPr="0036296D">
        <w:rPr>
          <w:rFonts w:ascii="Times New Roman" w:hAnsi="Times New Roman" w:cs="Times New Roman"/>
          <w:lang w:val="es-US"/>
        </w:rPr>
        <w:t>2021</w:t>
      </w:r>
      <w:r w:rsidR="0036296D">
        <w:rPr>
          <w:rFonts w:ascii="Times New Roman" w:hAnsi="Times New Roman" w:cs="Times New Roman"/>
          <w:lang w:val="es-US"/>
        </w:rPr>
        <w:t>).</w:t>
      </w:r>
    </w:p>
    <w:p w14:paraId="4E031AA2" w14:textId="4B7C2020" w:rsidR="00FC3B57" w:rsidRPr="004E2661" w:rsidRDefault="004E2661" w:rsidP="00D14A28">
      <w:pPr>
        <w:jc w:val="both"/>
        <w:rPr>
          <w:rFonts w:ascii="Times New Roman" w:hAnsi="Times New Roman" w:cs="Times New Roman"/>
        </w:rPr>
      </w:pPr>
      <w:r w:rsidRPr="004E2661">
        <w:rPr>
          <w:rFonts w:ascii="Times New Roman" w:hAnsi="Times New Roman" w:cs="Times New Roman"/>
        </w:rPr>
        <w:t xml:space="preserve">Los modelos SARIMA y SARFIMA pueden </w:t>
      </w:r>
      <w:r>
        <w:rPr>
          <w:rFonts w:ascii="Times New Roman" w:hAnsi="Times New Roman" w:cs="Times New Roman"/>
        </w:rPr>
        <w:t>usarse para predecir</w:t>
      </w:r>
      <w:r w:rsidRPr="004E2661">
        <w:rPr>
          <w:rFonts w:ascii="Times New Roman" w:hAnsi="Times New Roman" w:cs="Times New Roman"/>
        </w:rPr>
        <w:t xml:space="preserve"> precios de commodities cuando las series </w:t>
      </w:r>
      <w:r>
        <w:rPr>
          <w:rFonts w:ascii="Times New Roman" w:hAnsi="Times New Roman" w:cs="Times New Roman"/>
        </w:rPr>
        <w:t>tienen dependencia</w:t>
      </w:r>
      <w:r w:rsidRPr="004E2661">
        <w:rPr>
          <w:rFonts w:ascii="Times New Roman" w:hAnsi="Times New Roman" w:cs="Times New Roman"/>
        </w:rPr>
        <w:t xml:space="preserve"> temporal y patrones estacionales. SARIMA </w:t>
      </w:r>
      <w:r>
        <w:rPr>
          <w:rFonts w:ascii="Times New Roman" w:hAnsi="Times New Roman" w:cs="Times New Roman"/>
        </w:rPr>
        <w:t>es uno de los modelos más usados para series temporales,</w:t>
      </w:r>
      <w:r w:rsidRPr="004E2661">
        <w:rPr>
          <w:rFonts w:ascii="Times New Roman" w:hAnsi="Times New Roman" w:cs="Times New Roman"/>
        </w:rPr>
        <w:t xml:space="preserve"> mientras que SARFIMA permite una diferenciación fraccionaria, por lo que </w:t>
      </w:r>
      <w:r>
        <w:rPr>
          <w:rFonts w:ascii="Times New Roman" w:hAnsi="Times New Roman" w:cs="Times New Roman"/>
        </w:rPr>
        <w:t>es</w:t>
      </w:r>
      <w:r w:rsidRPr="004E2661">
        <w:rPr>
          <w:rFonts w:ascii="Times New Roman" w:hAnsi="Times New Roman" w:cs="Times New Roman"/>
        </w:rPr>
        <w:t xml:space="preserve"> apropiado cuando la influencia de observaciones pasadas disminuye lentamente </w:t>
      </w:r>
      <w:r>
        <w:rPr>
          <w:rFonts w:ascii="Times New Roman" w:hAnsi="Times New Roman" w:cs="Times New Roman"/>
        </w:rPr>
        <w:t>en</w:t>
      </w:r>
      <w:r w:rsidRPr="004E2661">
        <w:rPr>
          <w:rFonts w:ascii="Times New Roman" w:hAnsi="Times New Roman" w:cs="Times New Roman"/>
        </w:rPr>
        <w:t xml:space="preserve"> el tiempo</w:t>
      </w:r>
      <w:r w:rsidR="007C08EA">
        <w:rPr>
          <w:rFonts w:ascii="Times New Roman" w:hAnsi="Times New Roman" w:cs="Times New Roman"/>
        </w:rPr>
        <w:t>. Debe</w:t>
      </w:r>
      <w:r w:rsidRPr="004E2661">
        <w:rPr>
          <w:rFonts w:ascii="Times New Roman" w:hAnsi="Times New Roman" w:cs="Times New Roman"/>
        </w:rPr>
        <w:t xml:space="preserve"> comprobarse la estructura temporal de la serie, incluyendo estacionariedad, estacionalidad y autocorrelación mediante ACF y PACF. Además, después del ajuste, los residuos deben evaluarse para verificar ausencia de autocorrelación y heterocedasticidad, así como compatibilidad con el supuesto de normalidad. De esta forma, la selección entre SARIMA y SARFIMA depende principalmente </w:t>
      </w:r>
      <w:r w:rsidRPr="004E2661">
        <w:rPr>
          <w:rFonts w:ascii="Times New Roman" w:hAnsi="Times New Roman" w:cs="Times New Roman"/>
        </w:rPr>
        <w:lastRenderedPageBreak/>
        <w:t>de si la persistencia observada puede explicarse mediante diferenciación convencional o requiere integración fraccionaria</w:t>
      </w:r>
      <w:r w:rsidR="006773F6">
        <w:rPr>
          <w:rFonts w:ascii="Times New Roman" w:hAnsi="Times New Roman" w:cs="Times New Roman"/>
        </w:rPr>
        <w:t xml:space="preserve"> (</w:t>
      </w:r>
      <w:r w:rsidR="006773F6" w:rsidRPr="006773F6">
        <w:rPr>
          <w:rFonts w:ascii="Times New Roman" w:hAnsi="Times New Roman" w:cs="Times New Roman"/>
        </w:rPr>
        <w:t>Devianto</w:t>
      </w:r>
      <w:r w:rsidR="006773F6">
        <w:rPr>
          <w:rFonts w:ascii="Times New Roman" w:hAnsi="Times New Roman" w:cs="Times New Roman"/>
        </w:rPr>
        <w:t xml:space="preserve"> y cía., </w:t>
      </w:r>
      <w:r w:rsidR="006773F6" w:rsidRPr="006773F6">
        <w:rPr>
          <w:rFonts w:ascii="Times New Roman" w:hAnsi="Times New Roman" w:cs="Times New Roman"/>
        </w:rPr>
        <w:t>2024</w:t>
      </w:r>
      <w:r w:rsidR="006773F6">
        <w:rPr>
          <w:rFonts w:ascii="Times New Roman" w:hAnsi="Times New Roman" w:cs="Times New Roman"/>
        </w:rPr>
        <w:t>)</w:t>
      </w:r>
      <w:r w:rsidRPr="004E2661">
        <w:rPr>
          <w:rFonts w:ascii="Times New Roman" w:hAnsi="Times New Roman" w:cs="Times New Roman"/>
        </w:rPr>
        <w:t>.</w:t>
      </w:r>
    </w:p>
    <w:p w14:paraId="43CFE6B2" w14:textId="6F04CAC1" w:rsidR="00D21D9C" w:rsidRPr="00D21D9C" w:rsidRDefault="00D21D9C" w:rsidP="00D21D9C">
      <w:pPr>
        <w:pStyle w:val="Ttulo1"/>
        <w:rPr>
          <w:lang w:val="es-US"/>
        </w:rPr>
      </w:pPr>
      <w:r>
        <w:rPr>
          <w:lang w:val="es-US"/>
        </w:rPr>
        <w:t>Planteamiento del problema</w:t>
      </w:r>
    </w:p>
    <w:p w14:paraId="08BFFA0B" w14:textId="63BA3D99" w:rsidR="00D21D9C" w:rsidRDefault="00FC3B57" w:rsidP="00663688">
      <w:pPr>
        <w:jc w:val="both"/>
        <w:rPr>
          <w:rFonts w:ascii="Times New Roman" w:hAnsi="Times New Roman" w:cs="Times New Roman"/>
          <w:lang w:val="es-US"/>
        </w:rPr>
      </w:pPr>
      <w:r w:rsidRPr="00AF7B50">
        <w:rPr>
          <w:rFonts w:ascii="Times New Roman" w:hAnsi="Times New Roman" w:cs="Times New Roman"/>
          <w:lang w:val="es-US"/>
        </w:rPr>
        <w:t xml:space="preserve">En </w:t>
      </w:r>
      <w:r>
        <w:rPr>
          <w:rFonts w:ascii="Times New Roman" w:hAnsi="Times New Roman" w:cs="Times New Roman"/>
          <w:lang w:val="es-US"/>
        </w:rPr>
        <w:t>los últimos años</w:t>
      </w:r>
      <w:r w:rsidRPr="00AF7B50">
        <w:rPr>
          <w:rFonts w:ascii="Times New Roman" w:hAnsi="Times New Roman" w:cs="Times New Roman"/>
          <w:lang w:val="es-US"/>
        </w:rPr>
        <w:t xml:space="preserve">, los mercados </w:t>
      </w:r>
      <w:r>
        <w:rPr>
          <w:rFonts w:ascii="Times New Roman" w:hAnsi="Times New Roman" w:cs="Times New Roman"/>
          <w:lang w:val="es-US"/>
        </w:rPr>
        <w:t>financieros</w:t>
      </w:r>
      <w:r w:rsidRPr="00AF7B50">
        <w:rPr>
          <w:rFonts w:ascii="Times New Roman" w:hAnsi="Times New Roman" w:cs="Times New Roman"/>
          <w:lang w:val="es-US"/>
        </w:rPr>
        <w:t xml:space="preserve"> han experimentado niveles de volatilidad extremadamente</w:t>
      </w:r>
      <w:r>
        <w:rPr>
          <w:rFonts w:ascii="Times New Roman" w:hAnsi="Times New Roman" w:cs="Times New Roman"/>
          <w:lang w:val="es-US"/>
        </w:rPr>
        <w:t xml:space="preserve"> muy</w:t>
      </w:r>
      <w:r w:rsidRPr="00AF7B50">
        <w:rPr>
          <w:rFonts w:ascii="Times New Roman" w:hAnsi="Times New Roman" w:cs="Times New Roman"/>
          <w:lang w:val="es-US"/>
        </w:rPr>
        <w:t xml:space="preserve"> alta generados principalmente por crisis financieras, </w:t>
      </w:r>
      <w:r>
        <w:rPr>
          <w:rFonts w:ascii="Times New Roman" w:hAnsi="Times New Roman" w:cs="Times New Roman"/>
          <w:lang w:val="es-US"/>
        </w:rPr>
        <w:t>como la crisis del 2008 o la Pandemia de Covid-19. P</w:t>
      </w:r>
      <w:r w:rsidRPr="00AF7B50">
        <w:rPr>
          <w:rFonts w:ascii="Times New Roman" w:hAnsi="Times New Roman" w:cs="Times New Roman"/>
          <w:lang w:val="es-US"/>
        </w:rPr>
        <w:t>or ello, el modelado y predicción</w:t>
      </w:r>
      <w:r>
        <w:rPr>
          <w:rFonts w:ascii="Times New Roman" w:hAnsi="Times New Roman" w:cs="Times New Roman"/>
          <w:lang w:val="es-US"/>
        </w:rPr>
        <w:t xml:space="preserve"> </w:t>
      </w:r>
      <w:r w:rsidRPr="00AF7B50">
        <w:rPr>
          <w:rFonts w:ascii="Times New Roman" w:hAnsi="Times New Roman" w:cs="Times New Roman"/>
          <w:lang w:val="es-US"/>
        </w:rPr>
        <w:t xml:space="preserve">de la volatilidad en el corto y largo plazos </w:t>
      </w:r>
      <w:r>
        <w:rPr>
          <w:rFonts w:ascii="Times New Roman" w:hAnsi="Times New Roman" w:cs="Times New Roman"/>
          <w:lang w:val="es-US"/>
        </w:rPr>
        <w:t>han sido</w:t>
      </w:r>
      <w:r w:rsidRPr="00AF7B50">
        <w:rPr>
          <w:rFonts w:ascii="Times New Roman" w:hAnsi="Times New Roman" w:cs="Times New Roman"/>
          <w:lang w:val="es-US"/>
        </w:rPr>
        <w:t xml:space="preserve"> </w:t>
      </w:r>
      <w:r>
        <w:rPr>
          <w:rFonts w:ascii="Times New Roman" w:hAnsi="Times New Roman" w:cs="Times New Roman"/>
          <w:lang w:val="es-US"/>
        </w:rPr>
        <w:t>de principal</w:t>
      </w:r>
      <w:r w:rsidRPr="00AF7B50">
        <w:rPr>
          <w:rFonts w:ascii="Times New Roman" w:hAnsi="Times New Roman" w:cs="Times New Roman"/>
          <w:lang w:val="es-US"/>
        </w:rPr>
        <w:t xml:space="preserve"> de interés para los inversionistas y académicos debido a q</w:t>
      </w:r>
      <w:r>
        <w:rPr>
          <w:rFonts w:ascii="Times New Roman" w:hAnsi="Times New Roman" w:cs="Times New Roman"/>
          <w:lang w:val="es-US"/>
        </w:rPr>
        <w:t xml:space="preserve">ue la volatilidad </w:t>
      </w:r>
      <w:r w:rsidRPr="00AF7B50">
        <w:rPr>
          <w:rFonts w:ascii="Times New Roman" w:hAnsi="Times New Roman" w:cs="Times New Roman"/>
          <w:lang w:val="es-US"/>
        </w:rPr>
        <w:t>manifiesta de diferentes formas y niveles en los mercados financieros</w:t>
      </w:r>
      <w:r>
        <w:rPr>
          <w:rFonts w:ascii="Times New Roman" w:hAnsi="Times New Roman" w:cs="Times New Roman"/>
          <w:lang w:val="es-US"/>
        </w:rPr>
        <w:t xml:space="preserve"> (</w:t>
      </w:r>
      <w:r w:rsidRPr="00AF7B50">
        <w:rPr>
          <w:rFonts w:ascii="Times New Roman" w:hAnsi="Times New Roman" w:cs="Times New Roman"/>
        </w:rPr>
        <w:t>De Jesús-Gutiérrez</w:t>
      </w:r>
      <w:r>
        <w:rPr>
          <w:rFonts w:ascii="Times New Roman" w:hAnsi="Times New Roman" w:cs="Times New Roman"/>
        </w:rPr>
        <w:t xml:space="preserve">, </w:t>
      </w:r>
      <w:r w:rsidRPr="00AF7B50">
        <w:rPr>
          <w:rFonts w:ascii="Times New Roman" w:hAnsi="Times New Roman" w:cs="Times New Roman"/>
        </w:rPr>
        <w:t>2023)</w:t>
      </w:r>
      <w:r w:rsidRPr="00AF7B50">
        <w:rPr>
          <w:rFonts w:ascii="Times New Roman" w:hAnsi="Times New Roman" w:cs="Times New Roman"/>
          <w:lang w:val="es-US"/>
        </w:rPr>
        <w:t>.</w:t>
      </w:r>
    </w:p>
    <w:p w14:paraId="329EBE32" w14:textId="3CA9E970" w:rsidR="00D21D9C" w:rsidRDefault="00D21D9C" w:rsidP="00D21D9C">
      <w:pPr>
        <w:pStyle w:val="Ttulo1"/>
        <w:rPr>
          <w:lang w:val="es-US"/>
        </w:rPr>
      </w:pPr>
      <w:r>
        <w:rPr>
          <w:lang w:val="es-US"/>
        </w:rPr>
        <w:t>Objetivos</w:t>
      </w:r>
    </w:p>
    <w:p w14:paraId="4F31C45F" w14:textId="79E5D2DC" w:rsidR="00D21D9C" w:rsidRDefault="009729A3" w:rsidP="009729A3">
      <w:pPr>
        <w:jc w:val="both"/>
        <w:rPr>
          <w:rFonts w:ascii="Times New Roman" w:hAnsi="Times New Roman" w:cs="Times New Roman"/>
          <w:lang w:val="es-US"/>
        </w:rPr>
      </w:pPr>
      <w:r w:rsidRPr="009729A3">
        <w:rPr>
          <w:rFonts w:ascii="Times New Roman" w:hAnsi="Times New Roman" w:cs="Times New Roman"/>
          <w:lang w:val="es-US"/>
        </w:rPr>
        <w:t>Generar modelos predictivos para cada Commodity presente en el conjunto train.csv</w:t>
      </w:r>
      <w:r w:rsidR="007F10A2">
        <w:rPr>
          <w:rFonts w:ascii="Times New Roman" w:hAnsi="Times New Roman" w:cs="Times New Roman"/>
          <w:lang w:val="es-US"/>
        </w:rPr>
        <w:t>, mediante 3 tipos de modelos temporales</w:t>
      </w:r>
      <w:r w:rsidRPr="009729A3">
        <w:rPr>
          <w:rFonts w:ascii="Times New Roman" w:hAnsi="Times New Roman" w:cs="Times New Roman"/>
          <w:lang w:val="es-US"/>
        </w:rPr>
        <w:t>.</w:t>
      </w:r>
    </w:p>
    <w:p w14:paraId="4932FBCD" w14:textId="47C1CF36" w:rsidR="009729A3" w:rsidRDefault="007F10A2" w:rsidP="009729A3">
      <w:pPr>
        <w:jc w:val="both"/>
        <w:rPr>
          <w:rFonts w:ascii="Times New Roman" w:hAnsi="Times New Roman" w:cs="Times New Roman"/>
          <w:lang w:val="es-US"/>
        </w:rPr>
      </w:pPr>
      <w:r>
        <w:rPr>
          <w:rFonts w:ascii="Times New Roman" w:hAnsi="Times New Roman" w:cs="Times New Roman"/>
          <w:lang w:val="es-US"/>
        </w:rPr>
        <w:t>Determinar la validez</w:t>
      </w:r>
      <w:r w:rsidR="009729A3">
        <w:rPr>
          <w:rFonts w:ascii="Times New Roman" w:hAnsi="Times New Roman" w:cs="Times New Roman"/>
          <w:lang w:val="es-US"/>
        </w:rPr>
        <w:t xml:space="preserve"> del mejor modelo para cada Commodity</w:t>
      </w:r>
      <w:r>
        <w:rPr>
          <w:rFonts w:ascii="Times New Roman" w:hAnsi="Times New Roman" w:cs="Times New Roman"/>
          <w:lang w:val="es-US"/>
        </w:rPr>
        <w:t>, mediante la evaluación de los supuestos estadísticos de modelo</w:t>
      </w:r>
      <w:r w:rsidR="009729A3">
        <w:rPr>
          <w:rFonts w:ascii="Times New Roman" w:hAnsi="Times New Roman" w:cs="Times New Roman"/>
          <w:lang w:val="es-US"/>
        </w:rPr>
        <w:t>.</w:t>
      </w:r>
    </w:p>
    <w:p w14:paraId="6630DCD7" w14:textId="4E7A9802" w:rsidR="002E05DE" w:rsidRDefault="00663688" w:rsidP="007F10A2">
      <w:pPr>
        <w:jc w:val="both"/>
        <w:rPr>
          <w:rFonts w:ascii="Times New Roman" w:hAnsi="Times New Roman" w:cs="Times New Roman"/>
          <w:lang w:val="es-US"/>
        </w:rPr>
      </w:pPr>
      <w:r>
        <w:rPr>
          <w:rFonts w:ascii="Times New Roman" w:hAnsi="Times New Roman" w:cs="Times New Roman"/>
          <w:lang w:val="es-US"/>
        </w:rPr>
        <w:t xml:space="preserve">Cuantificar la pérdida de capacidad predictiva del </w:t>
      </w:r>
      <w:r w:rsidR="000679B9">
        <w:rPr>
          <w:rFonts w:ascii="Times New Roman" w:hAnsi="Times New Roman" w:cs="Times New Roman"/>
          <w:lang w:val="es-US"/>
        </w:rPr>
        <w:t xml:space="preserve">mejor </w:t>
      </w:r>
      <w:r>
        <w:rPr>
          <w:rFonts w:ascii="Times New Roman" w:hAnsi="Times New Roman" w:cs="Times New Roman"/>
          <w:lang w:val="es-US"/>
        </w:rPr>
        <w:t>modelo, mediante</w:t>
      </w:r>
      <w:r w:rsidR="007F10A2">
        <w:rPr>
          <w:rFonts w:ascii="Times New Roman" w:hAnsi="Times New Roman" w:cs="Times New Roman"/>
          <w:lang w:val="es-US"/>
        </w:rPr>
        <w:t xml:space="preserve"> la evolución del error predictivo a través del tiempo de predicción</w:t>
      </w:r>
      <w:r>
        <w:rPr>
          <w:rFonts w:ascii="Times New Roman" w:hAnsi="Times New Roman" w:cs="Times New Roman"/>
          <w:lang w:val="es-US"/>
        </w:rPr>
        <w:t>.</w:t>
      </w:r>
    </w:p>
    <w:p w14:paraId="22EF6443" w14:textId="127EB159" w:rsidR="002E05DE" w:rsidRDefault="002E05DE" w:rsidP="002E05DE">
      <w:pPr>
        <w:pStyle w:val="Ttulo1"/>
        <w:rPr>
          <w:lang w:val="es-US"/>
        </w:rPr>
      </w:pPr>
      <w:r>
        <w:rPr>
          <w:lang w:val="es-US"/>
        </w:rPr>
        <w:t>Descripción de los datos</w:t>
      </w:r>
    </w:p>
    <w:p w14:paraId="1C656CA6" w14:textId="56891F06" w:rsidR="002E05DE" w:rsidRDefault="002E05DE" w:rsidP="007F10A2">
      <w:pPr>
        <w:jc w:val="both"/>
        <w:rPr>
          <w:rFonts w:ascii="Times New Roman" w:hAnsi="Times New Roman" w:cs="Times New Roman"/>
          <w:lang w:val="es-US"/>
        </w:rPr>
      </w:pPr>
      <w:r>
        <w:rPr>
          <w:rFonts w:ascii="Times New Roman" w:hAnsi="Times New Roman" w:cs="Times New Roman"/>
          <w:lang w:val="es-US"/>
        </w:rPr>
        <w:t>El reto de Kaggle cuenta con tres conjuntos de datos.</w:t>
      </w:r>
    </w:p>
    <w:p w14:paraId="4B79E190" w14:textId="090B6726" w:rsidR="002E05DE" w:rsidRDefault="002E05DE" w:rsidP="002E05DE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lang w:val="es-US"/>
        </w:rPr>
      </w:pPr>
      <w:r>
        <w:rPr>
          <w:rFonts w:ascii="Times New Roman" w:hAnsi="Times New Roman" w:cs="Times New Roman"/>
          <w:lang w:val="es-US"/>
        </w:rPr>
        <w:t xml:space="preserve">train: Este conjunto tiene datos </w:t>
      </w:r>
      <w:r w:rsidR="00357911">
        <w:rPr>
          <w:rFonts w:ascii="Times New Roman" w:hAnsi="Times New Roman" w:cs="Times New Roman"/>
          <w:lang w:val="es-US"/>
        </w:rPr>
        <w:t>relacionados a</w:t>
      </w:r>
      <w:r>
        <w:rPr>
          <w:rFonts w:ascii="Times New Roman" w:hAnsi="Times New Roman" w:cs="Times New Roman"/>
          <w:lang w:val="es-US"/>
        </w:rPr>
        <w:t xml:space="preserve"> commodities a través de 1961 unidades de tiempo.</w:t>
      </w:r>
    </w:p>
    <w:p w14:paraId="4BB26B58" w14:textId="030E02C9" w:rsidR="002E05DE" w:rsidRDefault="002E05DE" w:rsidP="002E05DE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lang w:val="es-US"/>
        </w:rPr>
      </w:pPr>
      <w:r>
        <w:rPr>
          <w:rFonts w:ascii="Times New Roman" w:hAnsi="Times New Roman" w:cs="Times New Roman"/>
          <w:lang w:val="es-US"/>
        </w:rPr>
        <w:t xml:space="preserve">train_labels: Este conjunto de </w:t>
      </w:r>
      <w:r w:rsidR="00357911">
        <w:rPr>
          <w:rFonts w:ascii="Times New Roman" w:hAnsi="Times New Roman" w:cs="Times New Roman"/>
          <w:lang w:val="es-US"/>
        </w:rPr>
        <w:t>datos</w:t>
      </w:r>
      <w:r w:rsidR="00357911" w:rsidRPr="00357911">
        <w:rPr>
          <w:rFonts w:ascii="Times New Roman" w:hAnsi="Times New Roman" w:cs="Times New Roman"/>
          <w:lang w:val="es-US"/>
        </w:rPr>
        <w:t xml:space="preserve"> consiste en los rendimientos logarítmicos de un instrumento financiero o en las diferencias entre un par de instrumentos financieros.</w:t>
      </w:r>
    </w:p>
    <w:p w14:paraId="4AEE9B94" w14:textId="467977AF" w:rsidR="004E2661" w:rsidRPr="004E2661" w:rsidRDefault="00357911" w:rsidP="004E2661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357911">
        <w:rPr>
          <w:rFonts w:ascii="Times New Roman" w:hAnsi="Times New Roman" w:cs="Times New Roman"/>
        </w:rPr>
        <w:t>target_pairs: Muestra cómo calcul</w:t>
      </w:r>
      <w:r>
        <w:rPr>
          <w:rFonts w:ascii="Times New Roman" w:hAnsi="Times New Roman" w:cs="Times New Roman"/>
        </w:rPr>
        <w:t>ar las columnas del conjunto train_labels a partir de las columnas train.</w:t>
      </w:r>
    </w:p>
    <w:p w14:paraId="68E1EDB7" w14:textId="0C40FDBC" w:rsidR="00D21D9C" w:rsidRDefault="00D21D9C" w:rsidP="00D21D9C">
      <w:pPr>
        <w:pStyle w:val="Ttulo1"/>
        <w:rPr>
          <w:lang w:val="es-US"/>
        </w:rPr>
      </w:pPr>
      <w:r>
        <w:rPr>
          <w:lang w:val="es-US"/>
        </w:rPr>
        <w:t>Análisis exploratorio de datos</w:t>
      </w:r>
    </w:p>
    <w:p w14:paraId="6F5D31B6" w14:textId="3EB98980" w:rsidR="00D21D9C" w:rsidRDefault="000F2F2B">
      <w:pPr>
        <w:rPr>
          <w:rFonts w:ascii="Times New Roman" w:hAnsi="Times New Roman" w:cs="Times New Roman"/>
          <w:lang w:val="es-US"/>
        </w:rPr>
      </w:pPr>
      <w:r w:rsidRPr="00195F5D">
        <w:rPr>
          <w:rFonts w:ascii="Times New Roman" w:hAnsi="Times New Roman" w:cs="Times New Roman"/>
          <w:b/>
          <w:bCs/>
          <w:lang w:val="es-US"/>
        </w:rPr>
        <w:t>Cuadro 1:</w:t>
      </w:r>
      <w:r>
        <w:rPr>
          <w:rFonts w:ascii="Times New Roman" w:hAnsi="Times New Roman" w:cs="Times New Roman"/>
          <w:lang w:val="es-US"/>
        </w:rPr>
        <w:t xml:space="preserve"> Cantidad de datos en los archivos.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1842"/>
      </w:tblGrid>
      <w:tr w:rsidR="000F2F2B" w14:paraId="55F14EF6" w14:textId="77777777" w:rsidTr="00195F5D">
        <w:tc>
          <w:tcPr>
            <w:tcW w:w="1555" w:type="dxa"/>
          </w:tcPr>
          <w:p w14:paraId="58BC9FD9" w14:textId="1523E3B6" w:rsidR="000F2F2B" w:rsidRPr="00195F5D" w:rsidRDefault="000F2F2B" w:rsidP="00195F5D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 w:rsidRPr="00195F5D">
              <w:rPr>
                <w:rFonts w:ascii="Times New Roman" w:hAnsi="Times New Roman" w:cs="Times New Roman"/>
                <w:b/>
                <w:bCs/>
                <w:lang w:val="es-US"/>
              </w:rPr>
              <w:t>Archivo</w:t>
            </w:r>
          </w:p>
        </w:tc>
        <w:tc>
          <w:tcPr>
            <w:tcW w:w="1701" w:type="dxa"/>
          </w:tcPr>
          <w:p w14:paraId="574D3633" w14:textId="4187E012" w:rsidR="000F2F2B" w:rsidRPr="00195F5D" w:rsidRDefault="00195F5D" w:rsidP="00195F5D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>
              <w:rPr>
                <w:rFonts w:ascii="Times New Roman" w:hAnsi="Times New Roman" w:cs="Times New Roman"/>
                <w:b/>
                <w:bCs/>
                <w:lang w:val="es-US"/>
              </w:rPr>
              <w:t>Filas</w:t>
            </w:r>
          </w:p>
        </w:tc>
        <w:tc>
          <w:tcPr>
            <w:tcW w:w="1842" w:type="dxa"/>
          </w:tcPr>
          <w:p w14:paraId="482531B9" w14:textId="331E59BE" w:rsidR="000F2F2B" w:rsidRPr="00195F5D" w:rsidRDefault="00195F5D" w:rsidP="00195F5D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>
              <w:rPr>
                <w:rFonts w:ascii="Times New Roman" w:hAnsi="Times New Roman" w:cs="Times New Roman"/>
                <w:b/>
                <w:bCs/>
                <w:lang w:val="es-US"/>
              </w:rPr>
              <w:t>Columnas</w:t>
            </w:r>
          </w:p>
        </w:tc>
      </w:tr>
      <w:tr w:rsidR="000F2F2B" w14:paraId="2848BC5E" w14:textId="77777777" w:rsidTr="00195F5D">
        <w:tc>
          <w:tcPr>
            <w:tcW w:w="1555" w:type="dxa"/>
          </w:tcPr>
          <w:p w14:paraId="256F1B85" w14:textId="469DE783" w:rsidR="000F2F2B" w:rsidRDefault="00195F5D" w:rsidP="00195F5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train</w:t>
            </w:r>
          </w:p>
        </w:tc>
        <w:tc>
          <w:tcPr>
            <w:tcW w:w="1701" w:type="dxa"/>
          </w:tcPr>
          <w:p w14:paraId="327F833A" w14:textId="0A160B47" w:rsidR="000F2F2B" w:rsidRDefault="00195F5D" w:rsidP="00195F5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1961</w:t>
            </w:r>
          </w:p>
        </w:tc>
        <w:tc>
          <w:tcPr>
            <w:tcW w:w="1842" w:type="dxa"/>
          </w:tcPr>
          <w:p w14:paraId="60DA0D9A" w14:textId="32A62842" w:rsidR="000F2F2B" w:rsidRDefault="00195F5D" w:rsidP="00195F5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55</w:t>
            </w:r>
            <w:r w:rsidR="00591CB4">
              <w:rPr>
                <w:rFonts w:ascii="Times New Roman" w:hAnsi="Times New Roman" w:cs="Times New Roman"/>
                <w:lang w:val="es-US"/>
              </w:rPr>
              <w:t>8</w:t>
            </w:r>
          </w:p>
        </w:tc>
      </w:tr>
      <w:tr w:rsidR="000F2F2B" w14:paraId="4951A211" w14:textId="77777777" w:rsidTr="00195F5D">
        <w:tc>
          <w:tcPr>
            <w:tcW w:w="1555" w:type="dxa"/>
          </w:tcPr>
          <w:p w14:paraId="096F1973" w14:textId="53EEFF39" w:rsidR="000F2F2B" w:rsidRDefault="00195F5D" w:rsidP="00195F5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train_labels</w:t>
            </w:r>
          </w:p>
        </w:tc>
        <w:tc>
          <w:tcPr>
            <w:tcW w:w="1701" w:type="dxa"/>
          </w:tcPr>
          <w:p w14:paraId="06300634" w14:textId="7656B88B" w:rsidR="000F2F2B" w:rsidRDefault="00195F5D" w:rsidP="00195F5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1961</w:t>
            </w:r>
          </w:p>
        </w:tc>
        <w:tc>
          <w:tcPr>
            <w:tcW w:w="1842" w:type="dxa"/>
          </w:tcPr>
          <w:p w14:paraId="7B6ABFEB" w14:textId="1777D742" w:rsidR="000F2F2B" w:rsidRDefault="00195F5D" w:rsidP="00195F5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42</w:t>
            </w:r>
            <w:r w:rsidR="00591CB4">
              <w:rPr>
                <w:rFonts w:ascii="Times New Roman" w:hAnsi="Times New Roman" w:cs="Times New Roman"/>
                <w:lang w:val="es-US"/>
              </w:rPr>
              <w:t>5</w:t>
            </w:r>
          </w:p>
        </w:tc>
      </w:tr>
      <w:tr w:rsidR="000F2F2B" w14:paraId="4F2516E3" w14:textId="77777777" w:rsidTr="00195F5D">
        <w:tc>
          <w:tcPr>
            <w:tcW w:w="1555" w:type="dxa"/>
          </w:tcPr>
          <w:p w14:paraId="5BC33E37" w14:textId="4EB9930E" w:rsidR="000F2F2B" w:rsidRDefault="00195F5D" w:rsidP="00195F5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target_pairs</w:t>
            </w:r>
          </w:p>
        </w:tc>
        <w:tc>
          <w:tcPr>
            <w:tcW w:w="1701" w:type="dxa"/>
          </w:tcPr>
          <w:p w14:paraId="6C36AE3A" w14:textId="32B9C3D1" w:rsidR="000F2F2B" w:rsidRDefault="00195F5D" w:rsidP="00195F5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424</w:t>
            </w:r>
          </w:p>
        </w:tc>
        <w:tc>
          <w:tcPr>
            <w:tcW w:w="1842" w:type="dxa"/>
          </w:tcPr>
          <w:p w14:paraId="08C6D6A4" w14:textId="4F3E8B17" w:rsidR="000F2F2B" w:rsidRDefault="00195F5D" w:rsidP="00195F5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3</w:t>
            </w:r>
          </w:p>
        </w:tc>
      </w:tr>
    </w:tbl>
    <w:p w14:paraId="2B959C0B" w14:textId="1FAA09A9" w:rsidR="00195F5D" w:rsidRDefault="00195F5D" w:rsidP="00195F5D">
      <w:pPr>
        <w:jc w:val="both"/>
        <w:rPr>
          <w:rFonts w:ascii="Times New Roman" w:hAnsi="Times New Roman" w:cs="Times New Roman"/>
          <w:lang w:val="es-US"/>
        </w:rPr>
      </w:pPr>
      <w:r>
        <w:rPr>
          <w:rFonts w:ascii="Times New Roman" w:hAnsi="Times New Roman" w:cs="Times New Roman"/>
          <w:lang w:val="es-US"/>
        </w:rPr>
        <w:lastRenderedPageBreak/>
        <w:t>Note que los conjuntos train y train_labels están relacionados mediante las filas y que el número de filas de target_pairs está relacionado con el número de columnas de train_labels. En el cuaderno se verifica que estos se relacionan en cada una de sus entradas.</w:t>
      </w:r>
    </w:p>
    <w:p w14:paraId="68A86F87" w14:textId="77777777" w:rsidR="00591CB4" w:rsidRDefault="00591CB4" w:rsidP="00195F5D">
      <w:pPr>
        <w:jc w:val="both"/>
        <w:rPr>
          <w:rFonts w:ascii="Times New Roman" w:hAnsi="Times New Roman" w:cs="Times New Roman"/>
          <w:lang w:val="es-US"/>
        </w:rPr>
      </w:pPr>
    </w:p>
    <w:p w14:paraId="3BB55D37" w14:textId="03A86D78" w:rsidR="00591CB4" w:rsidRDefault="00591CB4" w:rsidP="00195F5D">
      <w:pPr>
        <w:jc w:val="both"/>
        <w:rPr>
          <w:rFonts w:ascii="Times New Roman" w:hAnsi="Times New Roman" w:cs="Times New Roman"/>
          <w:lang w:val="es-US"/>
        </w:rPr>
      </w:pPr>
      <w:r w:rsidRPr="00591CB4">
        <w:rPr>
          <w:rFonts w:ascii="Times New Roman" w:hAnsi="Times New Roman" w:cs="Times New Roman"/>
          <w:b/>
          <w:bCs/>
          <w:lang w:val="es-US"/>
        </w:rPr>
        <w:t>Cuadro 2:</w:t>
      </w:r>
      <w:r>
        <w:rPr>
          <w:rFonts w:ascii="Times New Roman" w:hAnsi="Times New Roman" w:cs="Times New Roman"/>
          <w:lang w:val="es-US"/>
        </w:rPr>
        <w:t xml:space="preserve"> Cantidad de columnas por tipos de variables.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65"/>
        <w:gridCol w:w="1765"/>
        <w:gridCol w:w="1766"/>
        <w:gridCol w:w="1766"/>
      </w:tblGrid>
      <w:tr w:rsidR="00591CB4" w14:paraId="2D08FFA6" w14:textId="77777777" w:rsidTr="00591CB4">
        <w:tc>
          <w:tcPr>
            <w:tcW w:w="1765" w:type="dxa"/>
          </w:tcPr>
          <w:p w14:paraId="5285B9C9" w14:textId="0A49F023" w:rsidR="00591CB4" w:rsidRPr="00591CB4" w:rsidRDefault="00591CB4" w:rsidP="00591CB4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 w:rsidRPr="00591CB4">
              <w:rPr>
                <w:rFonts w:ascii="Times New Roman" w:hAnsi="Times New Roman" w:cs="Times New Roman"/>
                <w:b/>
                <w:bCs/>
                <w:lang w:val="es-US"/>
              </w:rPr>
              <w:t>Archivo</w:t>
            </w:r>
          </w:p>
        </w:tc>
        <w:tc>
          <w:tcPr>
            <w:tcW w:w="1765" w:type="dxa"/>
          </w:tcPr>
          <w:p w14:paraId="6F353FD7" w14:textId="58B75F28" w:rsidR="00591CB4" w:rsidRPr="00591CB4" w:rsidRDefault="00591CB4" w:rsidP="00591CB4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 w:rsidRPr="00591CB4">
              <w:rPr>
                <w:rFonts w:ascii="Times New Roman" w:hAnsi="Times New Roman" w:cs="Times New Roman"/>
                <w:b/>
                <w:bCs/>
                <w:lang w:val="es-US"/>
              </w:rPr>
              <w:t>Entero</w:t>
            </w:r>
          </w:p>
        </w:tc>
        <w:tc>
          <w:tcPr>
            <w:tcW w:w="1766" w:type="dxa"/>
          </w:tcPr>
          <w:p w14:paraId="68DF038E" w14:textId="5F6C750A" w:rsidR="00591CB4" w:rsidRPr="00591CB4" w:rsidRDefault="00591CB4" w:rsidP="00591CB4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 w:rsidRPr="00591CB4">
              <w:rPr>
                <w:rFonts w:ascii="Times New Roman" w:hAnsi="Times New Roman" w:cs="Times New Roman"/>
                <w:b/>
                <w:bCs/>
                <w:lang w:val="es-US"/>
              </w:rPr>
              <w:t>Flotante</w:t>
            </w:r>
          </w:p>
        </w:tc>
        <w:tc>
          <w:tcPr>
            <w:tcW w:w="1766" w:type="dxa"/>
          </w:tcPr>
          <w:p w14:paraId="4E984084" w14:textId="58AFEACD" w:rsidR="00591CB4" w:rsidRPr="00591CB4" w:rsidRDefault="00591CB4" w:rsidP="00591CB4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 w:rsidRPr="00591CB4">
              <w:rPr>
                <w:rFonts w:ascii="Times New Roman" w:hAnsi="Times New Roman" w:cs="Times New Roman"/>
                <w:b/>
                <w:bCs/>
                <w:lang w:val="es-US"/>
              </w:rPr>
              <w:t>Object</w:t>
            </w:r>
          </w:p>
        </w:tc>
      </w:tr>
      <w:tr w:rsidR="00591CB4" w14:paraId="637B0B02" w14:textId="77777777" w:rsidTr="00591CB4">
        <w:tc>
          <w:tcPr>
            <w:tcW w:w="1765" w:type="dxa"/>
          </w:tcPr>
          <w:p w14:paraId="4D4453A1" w14:textId="08F76641" w:rsidR="00591CB4" w:rsidRDefault="00591CB4" w:rsidP="00591CB4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train</w:t>
            </w:r>
          </w:p>
        </w:tc>
        <w:tc>
          <w:tcPr>
            <w:tcW w:w="1765" w:type="dxa"/>
          </w:tcPr>
          <w:p w14:paraId="51491689" w14:textId="269C1887" w:rsidR="00591CB4" w:rsidRDefault="00591CB4" w:rsidP="00591CB4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1</w:t>
            </w:r>
          </w:p>
        </w:tc>
        <w:tc>
          <w:tcPr>
            <w:tcW w:w="1766" w:type="dxa"/>
          </w:tcPr>
          <w:p w14:paraId="7BF277CF" w14:textId="60E1E00A" w:rsidR="00591CB4" w:rsidRDefault="00591CB4" w:rsidP="00591CB4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557</w:t>
            </w:r>
          </w:p>
        </w:tc>
        <w:tc>
          <w:tcPr>
            <w:tcW w:w="1766" w:type="dxa"/>
          </w:tcPr>
          <w:p w14:paraId="1FEB2B93" w14:textId="0A695D0F" w:rsidR="00591CB4" w:rsidRDefault="00591CB4" w:rsidP="00591CB4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</w:tr>
      <w:tr w:rsidR="00591CB4" w14:paraId="70C361C3" w14:textId="77777777" w:rsidTr="00591CB4">
        <w:tc>
          <w:tcPr>
            <w:tcW w:w="1765" w:type="dxa"/>
          </w:tcPr>
          <w:p w14:paraId="02624723" w14:textId="6A0807C7" w:rsidR="00591CB4" w:rsidRDefault="00591CB4" w:rsidP="00591CB4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train_labels</w:t>
            </w:r>
          </w:p>
        </w:tc>
        <w:tc>
          <w:tcPr>
            <w:tcW w:w="1765" w:type="dxa"/>
          </w:tcPr>
          <w:p w14:paraId="0F4FC36A" w14:textId="4D65B98D" w:rsidR="00591CB4" w:rsidRDefault="00591CB4" w:rsidP="00591CB4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1</w:t>
            </w:r>
          </w:p>
        </w:tc>
        <w:tc>
          <w:tcPr>
            <w:tcW w:w="1766" w:type="dxa"/>
          </w:tcPr>
          <w:p w14:paraId="020867BF" w14:textId="373ECFED" w:rsidR="00591CB4" w:rsidRDefault="00591CB4" w:rsidP="00591CB4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424</w:t>
            </w:r>
          </w:p>
        </w:tc>
        <w:tc>
          <w:tcPr>
            <w:tcW w:w="1766" w:type="dxa"/>
          </w:tcPr>
          <w:p w14:paraId="1780B147" w14:textId="05415EE8" w:rsidR="00591CB4" w:rsidRDefault="00591CB4" w:rsidP="00591CB4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</w:tr>
      <w:tr w:rsidR="00591CB4" w14:paraId="3E961D2A" w14:textId="77777777" w:rsidTr="00591CB4">
        <w:tc>
          <w:tcPr>
            <w:tcW w:w="1765" w:type="dxa"/>
          </w:tcPr>
          <w:p w14:paraId="128A6F27" w14:textId="2814DB89" w:rsidR="00591CB4" w:rsidRDefault="00591CB4" w:rsidP="00591CB4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target_pairs</w:t>
            </w:r>
          </w:p>
        </w:tc>
        <w:tc>
          <w:tcPr>
            <w:tcW w:w="1765" w:type="dxa"/>
          </w:tcPr>
          <w:p w14:paraId="63D6E1A4" w14:textId="0497F7B4" w:rsidR="00591CB4" w:rsidRDefault="00591CB4" w:rsidP="00591CB4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1</w:t>
            </w:r>
          </w:p>
        </w:tc>
        <w:tc>
          <w:tcPr>
            <w:tcW w:w="1766" w:type="dxa"/>
          </w:tcPr>
          <w:p w14:paraId="459B2C71" w14:textId="68EA4670" w:rsidR="00591CB4" w:rsidRDefault="00591CB4" w:rsidP="00591CB4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766" w:type="dxa"/>
          </w:tcPr>
          <w:p w14:paraId="6D04B90C" w14:textId="07C8ADB3" w:rsidR="00591CB4" w:rsidRDefault="00591CB4" w:rsidP="00591CB4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2</w:t>
            </w:r>
          </w:p>
        </w:tc>
      </w:tr>
    </w:tbl>
    <w:p w14:paraId="291DA81F" w14:textId="7F41CB30" w:rsidR="00591CB4" w:rsidRDefault="00591CB4" w:rsidP="00195F5D">
      <w:pPr>
        <w:jc w:val="both"/>
        <w:rPr>
          <w:rFonts w:ascii="Times New Roman" w:hAnsi="Times New Roman" w:cs="Times New Roman"/>
          <w:lang w:val="es-US"/>
        </w:rPr>
      </w:pPr>
      <w:r>
        <w:rPr>
          <w:rFonts w:ascii="Times New Roman" w:hAnsi="Times New Roman" w:cs="Times New Roman"/>
          <w:lang w:val="es-US"/>
        </w:rPr>
        <w:t>La gran mayoría de las columnas son flotantes, la variable entera de train y train_labels se deben al índice del conjunto de datos. Solo target_pairs tiene tipo object.</w:t>
      </w:r>
    </w:p>
    <w:p w14:paraId="43893DB4" w14:textId="77777777" w:rsidR="000F2F2B" w:rsidRDefault="000F2F2B">
      <w:pPr>
        <w:rPr>
          <w:rFonts w:ascii="Times New Roman" w:hAnsi="Times New Roman" w:cs="Times New Roman"/>
          <w:lang w:val="es-US"/>
        </w:rPr>
      </w:pPr>
    </w:p>
    <w:p w14:paraId="795971B5" w14:textId="1F6D4AF2" w:rsidR="000F2F2B" w:rsidRDefault="000F2F2B">
      <w:pPr>
        <w:rPr>
          <w:rFonts w:ascii="Times New Roman" w:hAnsi="Times New Roman" w:cs="Times New Roman"/>
          <w:lang w:val="es-US"/>
        </w:rPr>
      </w:pPr>
      <w:r w:rsidRPr="00195F5D">
        <w:rPr>
          <w:rFonts w:ascii="Times New Roman" w:hAnsi="Times New Roman" w:cs="Times New Roman"/>
          <w:b/>
          <w:bCs/>
          <w:lang w:val="es-US"/>
        </w:rPr>
        <w:t xml:space="preserve">Cuadro </w:t>
      </w:r>
      <w:r w:rsidR="00591CB4">
        <w:rPr>
          <w:rFonts w:ascii="Times New Roman" w:hAnsi="Times New Roman" w:cs="Times New Roman"/>
          <w:b/>
          <w:bCs/>
          <w:lang w:val="es-US"/>
        </w:rPr>
        <w:t>3</w:t>
      </w:r>
      <w:r w:rsidRPr="00195F5D">
        <w:rPr>
          <w:rFonts w:ascii="Times New Roman" w:hAnsi="Times New Roman" w:cs="Times New Roman"/>
          <w:b/>
          <w:bCs/>
          <w:lang w:val="es-US"/>
        </w:rPr>
        <w:t>:</w:t>
      </w:r>
      <w:r>
        <w:rPr>
          <w:rFonts w:ascii="Times New Roman" w:hAnsi="Times New Roman" w:cs="Times New Roman"/>
          <w:lang w:val="es-US"/>
        </w:rPr>
        <w:t xml:space="preserve"> Valores faltantes</w:t>
      </w:r>
      <w:r w:rsidR="00273092">
        <w:rPr>
          <w:rFonts w:ascii="Times New Roman" w:hAnsi="Times New Roman" w:cs="Times New Roman"/>
          <w:lang w:val="es-US"/>
        </w:rPr>
        <w:t xml:space="preserve"> en conjuntos originales</w:t>
      </w:r>
      <w:r>
        <w:rPr>
          <w:rFonts w:ascii="Times New Roman" w:hAnsi="Times New Roman" w:cs="Times New Roman"/>
          <w:lang w:val="es-US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5"/>
        <w:gridCol w:w="1984"/>
        <w:gridCol w:w="1985"/>
        <w:gridCol w:w="1985"/>
      </w:tblGrid>
      <w:tr w:rsidR="000C2DE8" w14:paraId="30D1680B" w14:textId="4B0A3908" w:rsidTr="00EA1C6A">
        <w:tc>
          <w:tcPr>
            <w:tcW w:w="1555" w:type="dxa"/>
          </w:tcPr>
          <w:p w14:paraId="32839698" w14:textId="77777777" w:rsidR="000C2DE8" w:rsidRPr="00195F5D" w:rsidRDefault="000C2DE8" w:rsidP="006102E7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 w:rsidRPr="00195F5D">
              <w:rPr>
                <w:rFonts w:ascii="Times New Roman" w:hAnsi="Times New Roman" w:cs="Times New Roman"/>
                <w:b/>
                <w:bCs/>
                <w:lang w:val="es-US"/>
              </w:rPr>
              <w:t>Archivo</w:t>
            </w:r>
          </w:p>
        </w:tc>
        <w:tc>
          <w:tcPr>
            <w:tcW w:w="1984" w:type="dxa"/>
          </w:tcPr>
          <w:p w14:paraId="7D3506DA" w14:textId="2686A2ED" w:rsidR="000C2DE8" w:rsidRPr="00195F5D" w:rsidRDefault="000C2DE8" w:rsidP="006102E7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>
              <w:rPr>
                <w:rFonts w:ascii="Times New Roman" w:hAnsi="Times New Roman" w:cs="Times New Roman"/>
                <w:b/>
                <w:bCs/>
                <w:lang w:val="es-US"/>
              </w:rPr>
              <w:t>Columnas con valores faltantes</w:t>
            </w:r>
          </w:p>
        </w:tc>
        <w:tc>
          <w:tcPr>
            <w:tcW w:w="1985" w:type="dxa"/>
          </w:tcPr>
          <w:p w14:paraId="7654DDE4" w14:textId="651ADC07" w:rsidR="000C2DE8" w:rsidRPr="00195F5D" w:rsidRDefault="000C2DE8" w:rsidP="006102E7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>
              <w:rPr>
                <w:rFonts w:ascii="Times New Roman" w:hAnsi="Times New Roman" w:cs="Times New Roman"/>
                <w:b/>
                <w:bCs/>
                <w:lang w:val="es-US"/>
              </w:rPr>
              <w:t>Máximo de valores faltantes</w:t>
            </w:r>
          </w:p>
        </w:tc>
        <w:tc>
          <w:tcPr>
            <w:tcW w:w="1985" w:type="dxa"/>
          </w:tcPr>
          <w:p w14:paraId="623AB8FA" w14:textId="011CCBA5" w:rsidR="000C2DE8" w:rsidRDefault="000C2DE8" w:rsidP="006102E7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>
              <w:rPr>
                <w:rFonts w:ascii="Times New Roman" w:hAnsi="Times New Roman" w:cs="Times New Roman"/>
                <w:b/>
                <w:bCs/>
                <w:lang w:val="es-US"/>
              </w:rPr>
              <w:t>Mínimo de valores faltantes</w:t>
            </w:r>
          </w:p>
        </w:tc>
      </w:tr>
      <w:tr w:rsidR="000C2DE8" w14:paraId="64CEB622" w14:textId="01D73D32" w:rsidTr="00EA1C6A">
        <w:tc>
          <w:tcPr>
            <w:tcW w:w="1555" w:type="dxa"/>
          </w:tcPr>
          <w:p w14:paraId="6C913D58" w14:textId="77777777" w:rsidR="000C2DE8" w:rsidRDefault="000C2DE8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train</w:t>
            </w:r>
          </w:p>
        </w:tc>
        <w:tc>
          <w:tcPr>
            <w:tcW w:w="1984" w:type="dxa"/>
          </w:tcPr>
          <w:p w14:paraId="1AEB4086" w14:textId="7CBD7D9E" w:rsidR="000C2DE8" w:rsidRDefault="000C2DE8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519</w:t>
            </w:r>
          </w:p>
        </w:tc>
        <w:tc>
          <w:tcPr>
            <w:tcW w:w="1985" w:type="dxa"/>
          </w:tcPr>
          <w:p w14:paraId="4E17095B" w14:textId="05CAFCB7" w:rsidR="000C2DE8" w:rsidRDefault="000C2DE8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1713</w:t>
            </w:r>
          </w:p>
        </w:tc>
        <w:tc>
          <w:tcPr>
            <w:tcW w:w="1985" w:type="dxa"/>
          </w:tcPr>
          <w:p w14:paraId="395349A2" w14:textId="5B4056DD" w:rsidR="000C2DE8" w:rsidRDefault="000C2DE8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51</w:t>
            </w:r>
          </w:p>
        </w:tc>
      </w:tr>
      <w:tr w:rsidR="000C2DE8" w14:paraId="4C40108A" w14:textId="4B3C949C" w:rsidTr="00EA1C6A">
        <w:tc>
          <w:tcPr>
            <w:tcW w:w="1555" w:type="dxa"/>
          </w:tcPr>
          <w:p w14:paraId="692E1A87" w14:textId="77777777" w:rsidR="000C2DE8" w:rsidRDefault="000C2DE8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train_labels</w:t>
            </w:r>
          </w:p>
        </w:tc>
        <w:tc>
          <w:tcPr>
            <w:tcW w:w="1984" w:type="dxa"/>
          </w:tcPr>
          <w:p w14:paraId="28BCA7A1" w14:textId="0CC3FE3A" w:rsidR="000C2DE8" w:rsidRDefault="000C2DE8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422</w:t>
            </w:r>
          </w:p>
        </w:tc>
        <w:tc>
          <w:tcPr>
            <w:tcW w:w="1985" w:type="dxa"/>
          </w:tcPr>
          <w:p w14:paraId="68778541" w14:textId="3154533A" w:rsidR="000C2DE8" w:rsidRDefault="000C2DE8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370</w:t>
            </w:r>
          </w:p>
        </w:tc>
        <w:tc>
          <w:tcPr>
            <w:tcW w:w="1985" w:type="dxa"/>
          </w:tcPr>
          <w:p w14:paraId="6E1DFD76" w14:textId="1CB8B9BF" w:rsidR="000C2DE8" w:rsidRDefault="000C2DE8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86</w:t>
            </w:r>
          </w:p>
        </w:tc>
      </w:tr>
      <w:tr w:rsidR="000C2DE8" w14:paraId="19A9D7D1" w14:textId="0F917B13" w:rsidTr="00EA1C6A">
        <w:tc>
          <w:tcPr>
            <w:tcW w:w="1555" w:type="dxa"/>
          </w:tcPr>
          <w:p w14:paraId="50C7569F" w14:textId="77777777" w:rsidR="000C2DE8" w:rsidRDefault="000C2DE8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target_pairs</w:t>
            </w:r>
          </w:p>
        </w:tc>
        <w:tc>
          <w:tcPr>
            <w:tcW w:w="1984" w:type="dxa"/>
          </w:tcPr>
          <w:p w14:paraId="0A52FF76" w14:textId="55FCB44A" w:rsidR="000C2DE8" w:rsidRDefault="000C2DE8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985" w:type="dxa"/>
          </w:tcPr>
          <w:p w14:paraId="2D1F0259" w14:textId="48BD33FC" w:rsidR="000C2DE8" w:rsidRDefault="000C2DE8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985" w:type="dxa"/>
          </w:tcPr>
          <w:p w14:paraId="5B2B4E42" w14:textId="1D80297C" w:rsidR="000C2DE8" w:rsidRDefault="000C2DE8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</w:tr>
    </w:tbl>
    <w:p w14:paraId="076215AC" w14:textId="0B36F298" w:rsidR="000F2F2B" w:rsidRDefault="004A6F28">
      <w:pPr>
        <w:rPr>
          <w:rFonts w:ascii="Times New Roman" w:hAnsi="Times New Roman" w:cs="Times New Roman"/>
          <w:lang w:val="es-US"/>
        </w:rPr>
      </w:pPr>
      <w:r>
        <w:rPr>
          <w:rFonts w:ascii="Times New Roman" w:hAnsi="Times New Roman" w:cs="Times New Roman"/>
          <w:lang w:val="es-US"/>
        </w:rPr>
        <w:t>Hay muchas columnas con valores faltantes, pero no todas son útiles para train_labels.</w:t>
      </w:r>
    </w:p>
    <w:p w14:paraId="0C9CD873" w14:textId="73890178" w:rsidR="000F2F2B" w:rsidRDefault="000F2F2B">
      <w:pPr>
        <w:rPr>
          <w:rFonts w:ascii="Times New Roman" w:hAnsi="Times New Roman" w:cs="Times New Roman"/>
          <w:lang w:val="es-US"/>
        </w:rPr>
      </w:pPr>
    </w:p>
    <w:p w14:paraId="274B7AE5" w14:textId="53E97886" w:rsidR="00273092" w:rsidRDefault="00273092">
      <w:pPr>
        <w:rPr>
          <w:rFonts w:ascii="Times New Roman" w:hAnsi="Times New Roman" w:cs="Times New Roman"/>
          <w:lang w:val="es-US"/>
        </w:rPr>
      </w:pPr>
      <w:r w:rsidRPr="001F466B">
        <w:rPr>
          <w:rFonts w:ascii="Times New Roman" w:hAnsi="Times New Roman" w:cs="Times New Roman"/>
          <w:b/>
          <w:bCs/>
          <w:lang w:val="es-US"/>
        </w:rPr>
        <w:t xml:space="preserve">Cuadro </w:t>
      </w:r>
      <w:r w:rsidR="00591CB4">
        <w:rPr>
          <w:rFonts w:ascii="Times New Roman" w:hAnsi="Times New Roman" w:cs="Times New Roman"/>
          <w:b/>
          <w:bCs/>
          <w:lang w:val="es-US"/>
        </w:rPr>
        <w:t>4</w:t>
      </w:r>
      <w:r w:rsidRPr="001F466B">
        <w:rPr>
          <w:rFonts w:ascii="Times New Roman" w:hAnsi="Times New Roman" w:cs="Times New Roman"/>
          <w:b/>
          <w:bCs/>
          <w:lang w:val="es-US"/>
        </w:rPr>
        <w:t>:</w:t>
      </w:r>
      <w:r>
        <w:rPr>
          <w:rFonts w:ascii="Times New Roman" w:hAnsi="Times New Roman" w:cs="Times New Roman"/>
          <w:lang w:val="es-US"/>
        </w:rPr>
        <w:t xml:space="preserve"> Valores faltantes en el archivo train, solo con las columnas útiles para predecir.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4"/>
        <w:gridCol w:w="1985"/>
        <w:gridCol w:w="1985"/>
        <w:gridCol w:w="1985"/>
      </w:tblGrid>
      <w:tr w:rsidR="00273092" w14:paraId="3CD27D20" w14:textId="77777777" w:rsidTr="0099711E">
        <w:tc>
          <w:tcPr>
            <w:tcW w:w="1984" w:type="dxa"/>
          </w:tcPr>
          <w:p w14:paraId="50DD0A06" w14:textId="5172C245" w:rsidR="00273092" w:rsidRPr="00195F5D" w:rsidRDefault="00273092" w:rsidP="006102E7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>
              <w:rPr>
                <w:rFonts w:ascii="Times New Roman" w:hAnsi="Times New Roman" w:cs="Times New Roman"/>
                <w:b/>
                <w:bCs/>
                <w:lang w:val="es-US"/>
              </w:rPr>
              <w:t>Columnas útiles</w:t>
            </w:r>
          </w:p>
        </w:tc>
        <w:tc>
          <w:tcPr>
            <w:tcW w:w="1985" w:type="dxa"/>
          </w:tcPr>
          <w:p w14:paraId="72EAE2A6" w14:textId="79ADFD18" w:rsidR="00273092" w:rsidRDefault="00273092" w:rsidP="006102E7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>
              <w:rPr>
                <w:rFonts w:ascii="Times New Roman" w:hAnsi="Times New Roman" w:cs="Times New Roman"/>
                <w:b/>
                <w:bCs/>
                <w:lang w:val="es-US"/>
              </w:rPr>
              <w:t>Columnas con valores faltantes</w:t>
            </w:r>
          </w:p>
        </w:tc>
        <w:tc>
          <w:tcPr>
            <w:tcW w:w="1985" w:type="dxa"/>
          </w:tcPr>
          <w:p w14:paraId="4AD65D00" w14:textId="5D5076D0" w:rsidR="00273092" w:rsidRPr="00195F5D" w:rsidRDefault="00273092" w:rsidP="006102E7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>
              <w:rPr>
                <w:rFonts w:ascii="Times New Roman" w:hAnsi="Times New Roman" w:cs="Times New Roman"/>
                <w:b/>
                <w:bCs/>
                <w:lang w:val="es-US"/>
              </w:rPr>
              <w:t>Máximo de valores faltantes</w:t>
            </w:r>
          </w:p>
        </w:tc>
        <w:tc>
          <w:tcPr>
            <w:tcW w:w="1985" w:type="dxa"/>
          </w:tcPr>
          <w:p w14:paraId="1CBA9428" w14:textId="77777777" w:rsidR="00273092" w:rsidRDefault="00273092" w:rsidP="006102E7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>
              <w:rPr>
                <w:rFonts w:ascii="Times New Roman" w:hAnsi="Times New Roman" w:cs="Times New Roman"/>
                <w:b/>
                <w:bCs/>
                <w:lang w:val="es-US"/>
              </w:rPr>
              <w:t>Mínimo de valores faltantes</w:t>
            </w:r>
          </w:p>
        </w:tc>
      </w:tr>
      <w:tr w:rsidR="00273092" w14:paraId="5C916075" w14:textId="77777777" w:rsidTr="0099711E">
        <w:tc>
          <w:tcPr>
            <w:tcW w:w="1984" w:type="dxa"/>
          </w:tcPr>
          <w:p w14:paraId="7217101C" w14:textId="5D8CAE23" w:rsidR="00273092" w:rsidRDefault="00273092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106</w:t>
            </w:r>
          </w:p>
        </w:tc>
        <w:tc>
          <w:tcPr>
            <w:tcW w:w="1985" w:type="dxa"/>
          </w:tcPr>
          <w:p w14:paraId="583D00D6" w14:textId="1FF5A3A4" w:rsidR="00273092" w:rsidRDefault="001F466B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73</w:t>
            </w:r>
          </w:p>
        </w:tc>
        <w:tc>
          <w:tcPr>
            <w:tcW w:w="1985" w:type="dxa"/>
          </w:tcPr>
          <w:p w14:paraId="79D1FA0E" w14:textId="3872168F" w:rsidR="00273092" w:rsidRDefault="00273092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1</w:t>
            </w:r>
            <w:r w:rsidR="001F466B">
              <w:rPr>
                <w:rFonts w:ascii="Times New Roman" w:hAnsi="Times New Roman" w:cs="Times New Roman"/>
                <w:lang w:val="es-US"/>
              </w:rPr>
              <w:t>16</w:t>
            </w:r>
          </w:p>
        </w:tc>
        <w:tc>
          <w:tcPr>
            <w:tcW w:w="1985" w:type="dxa"/>
          </w:tcPr>
          <w:p w14:paraId="0772DCE8" w14:textId="77777777" w:rsidR="00273092" w:rsidRDefault="00273092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51</w:t>
            </w:r>
          </w:p>
        </w:tc>
      </w:tr>
    </w:tbl>
    <w:p w14:paraId="464B7573" w14:textId="0F4F12A7" w:rsidR="001F466B" w:rsidRDefault="001F466B" w:rsidP="00F7349F">
      <w:pPr>
        <w:jc w:val="both"/>
        <w:rPr>
          <w:rFonts w:ascii="Times New Roman" w:hAnsi="Times New Roman" w:cs="Times New Roman"/>
          <w:lang w:val="es-US"/>
        </w:rPr>
      </w:pPr>
      <w:r>
        <w:rPr>
          <w:rFonts w:ascii="Times New Roman" w:hAnsi="Times New Roman" w:cs="Times New Roman"/>
          <w:lang w:val="es-US"/>
        </w:rPr>
        <w:t>De las columnas</w:t>
      </w:r>
      <w:r w:rsidR="008972D4">
        <w:rPr>
          <w:rFonts w:ascii="Times New Roman" w:hAnsi="Times New Roman" w:cs="Times New Roman"/>
          <w:lang w:val="es-US"/>
        </w:rPr>
        <w:t xml:space="preserve"> </w:t>
      </w:r>
      <w:r w:rsidR="00F7349F">
        <w:rPr>
          <w:rFonts w:ascii="Times New Roman" w:hAnsi="Times New Roman" w:cs="Times New Roman"/>
          <w:lang w:val="es-US"/>
        </w:rPr>
        <w:t>que son útiles, se tiene presencia de valores faltantes en la mayoría de éstas, pero la cantidad de valores faltantes máxima es mucho menor que en el conjunto original.</w:t>
      </w:r>
    </w:p>
    <w:p w14:paraId="630D24C5" w14:textId="77777777" w:rsidR="00F7349F" w:rsidRDefault="00F7349F" w:rsidP="00F7349F">
      <w:pPr>
        <w:jc w:val="both"/>
        <w:rPr>
          <w:rFonts w:ascii="Times New Roman" w:hAnsi="Times New Roman" w:cs="Times New Roman"/>
          <w:lang w:val="es-US"/>
        </w:rPr>
      </w:pPr>
    </w:p>
    <w:p w14:paraId="1A51D981" w14:textId="22F8FAFB" w:rsidR="00F7349F" w:rsidRDefault="00955EEB" w:rsidP="00F7349F">
      <w:pPr>
        <w:jc w:val="both"/>
        <w:rPr>
          <w:rFonts w:ascii="Times New Roman" w:hAnsi="Times New Roman" w:cs="Times New Roman"/>
          <w:lang w:val="es-US"/>
        </w:rPr>
      </w:pPr>
      <w:r w:rsidRPr="00955EEB">
        <w:rPr>
          <w:rFonts w:ascii="Times New Roman" w:hAnsi="Times New Roman" w:cs="Times New Roman"/>
          <w:b/>
          <w:bCs/>
          <w:lang w:val="es-US"/>
        </w:rPr>
        <w:t xml:space="preserve">Cuadro </w:t>
      </w:r>
      <w:r w:rsidR="00591CB4">
        <w:rPr>
          <w:rFonts w:ascii="Times New Roman" w:hAnsi="Times New Roman" w:cs="Times New Roman"/>
          <w:b/>
          <w:bCs/>
          <w:lang w:val="es-US"/>
        </w:rPr>
        <w:t>5</w:t>
      </w:r>
      <w:r w:rsidRPr="00955EEB">
        <w:rPr>
          <w:rFonts w:ascii="Times New Roman" w:hAnsi="Times New Roman" w:cs="Times New Roman"/>
          <w:b/>
          <w:bCs/>
          <w:lang w:val="es-US"/>
        </w:rPr>
        <w:t>:</w:t>
      </w:r>
      <w:r>
        <w:rPr>
          <w:rFonts w:ascii="Times New Roman" w:hAnsi="Times New Roman" w:cs="Times New Roman"/>
          <w:lang w:val="es-US"/>
        </w:rPr>
        <w:t xml:space="preserve"> </w:t>
      </w:r>
      <w:r w:rsidR="00CE4B8D">
        <w:rPr>
          <w:rFonts w:ascii="Times New Roman" w:hAnsi="Times New Roman" w:cs="Times New Roman"/>
          <w:lang w:val="es-US"/>
        </w:rPr>
        <w:t>Cantidad de columnas que no cumplen con</w:t>
      </w:r>
      <w:r>
        <w:rPr>
          <w:rFonts w:ascii="Times New Roman" w:hAnsi="Times New Roman" w:cs="Times New Roman"/>
          <w:lang w:val="es-US"/>
        </w:rPr>
        <w:t xml:space="preserve"> criterios estadísticos </w:t>
      </w:r>
      <w:r w:rsidR="00CE4B8D">
        <w:rPr>
          <w:rFonts w:ascii="Times New Roman" w:hAnsi="Times New Roman" w:cs="Times New Roman"/>
          <w:lang w:val="es-US"/>
        </w:rPr>
        <w:t xml:space="preserve">deseados, </w:t>
      </w:r>
      <w:r>
        <w:rPr>
          <w:rFonts w:ascii="Times New Roman" w:hAnsi="Times New Roman" w:cs="Times New Roman"/>
          <w:lang w:val="es-US"/>
        </w:rPr>
        <w:t>para conjuntos diferenciados</w:t>
      </w:r>
      <w:r w:rsidR="00CE4B8D">
        <w:rPr>
          <w:rFonts w:ascii="Times New Roman" w:hAnsi="Times New Roman" w:cs="Times New Roman"/>
          <w:lang w:val="es-US"/>
        </w:rPr>
        <w:t xml:space="preserve"> provenientes de train preprocesado a escala logarítmica y solo con columnas útiles.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559"/>
        <w:gridCol w:w="1559"/>
        <w:gridCol w:w="1560"/>
        <w:gridCol w:w="1603"/>
      </w:tblGrid>
      <w:tr w:rsidR="00CE4B8D" w14:paraId="6C8A9AB3" w14:textId="77777777" w:rsidTr="00B37ECD">
        <w:tc>
          <w:tcPr>
            <w:tcW w:w="2547" w:type="dxa"/>
          </w:tcPr>
          <w:p w14:paraId="726F1EB8" w14:textId="3E8BB78D" w:rsidR="00CE4B8D" w:rsidRPr="00CE4B8D" w:rsidRDefault="00CE4B8D" w:rsidP="00CE4B8D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 w:rsidRPr="00CE4B8D">
              <w:rPr>
                <w:rFonts w:ascii="Times New Roman" w:hAnsi="Times New Roman" w:cs="Times New Roman"/>
                <w:b/>
                <w:bCs/>
                <w:lang w:val="es-US"/>
              </w:rPr>
              <w:t>Criterio</w:t>
            </w:r>
          </w:p>
        </w:tc>
        <w:tc>
          <w:tcPr>
            <w:tcW w:w="1559" w:type="dxa"/>
          </w:tcPr>
          <w:p w14:paraId="2BFA72C1" w14:textId="3BBB0C21" w:rsidR="00CE4B8D" w:rsidRPr="00CE4B8D" w:rsidRDefault="00CE4B8D" w:rsidP="00CE4B8D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 w:rsidRPr="00CE4B8D">
              <w:rPr>
                <w:rFonts w:ascii="Times New Roman" w:hAnsi="Times New Roman" w:cs="Times New Roman"/>
                <w:b/>
                <w:bCs/>
                <w:lang w:val="es-US"/>
              </w:rPr>
              <w:t>Diferencia 1</w:t>
            </w:r>
          </w:p>
        </w:tc>
        <w:tc>
          <w:tcPr>
            <w:tcW w:w="1559" w:type="dxa"/>
          </w:tcPr>
          <w:p w14:paraId="42111DF8" w14:textId="24ADFE5F" w:rsidR="00CE4B8D" w:rsidRPr="00CE4B8D" w:rsidRDefault="00CE4B8D" w:rsidP="00CE4B8D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 w:rsidRPr="00CE4B8D">
              <w:rPr>
                <w:rFonts w:ascii="Times New Roman" w:hAnsi="Times New Roman" w:cs="Times New Roman"/>
                <w:b/>
                <w:bCs/>
                <w:lang w:val="es-US"/>
              </w:rPr>
              <w:t>Diferencia 2</w:t>
            </w:r>
          </w:p>
        </w:tc>
        <w:tc>
          <w:tcPr>
            <w:tcW w:w="1560" w:type="dxa"/>
          </w:tcPr>
          <w:p w14:paraId="25B7945A" w14:textId="773DF0CB" w:rsidR="00CE4B8D" w:rsidRPr="00CE4B8D" w:rsidRDefault="00CE4B8D" w:rsidP="00CE4B8D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 w:rsidRPr="00CE4B8D">
              <w:rPr>
                <w:rFonts w:ascii="Times New Roman" w:hAnsi="Times New Roman" w:cs="Times New Roman"/>
                <w:b/>
                <w:bCs/>
                <w:lang w:val="es-US"/>
              </w:rPr>
              <w:t>Diferencia 3</w:t>
            </w:r>
          </w:p>
        </w:tc>
        <w:tc>
          <w:tcPr>
            <w:tcW w:w="1603" w:type="dxa"/>
          </w:tcPr>
          <w:p w14:paraId="0EC311B2" w14:textId="641201D8" w:rsidR="00CE4B8D" w:rsidRPr="00CE4B8D" w:rsidRDefault="00CE4B8D" w:rsidP="00CE4B8D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 w:rsidRPr="00CE4B8D">
              <w:rPr>
                <w:rFonts w:ascii="Times New Roman" w:hAnsi="Times New Roman" w:cs="Times New Roman"/>
                <w:b/>
                <w:bCs/>
                <w:lang w:val="es-US"/>
              </w:rPr>
              <w:t>Diferencia 4</w:t>
            </w:r>
          </w:p>
        </w:tc>
      </w:tr>
      <w:tr w:rsidR="00CE4B8D" w14:paraId="6808C416" w14:textId="77777777" w:rsidTr="00B37ECD">
        <w:tc>
          <w:tcPr>
            <w:tcW w:w="2547" w:type="dxa"/>
          </w:tcPr>
          <w:p w14:paraId="1C5DB858" w14:textId="3B024B6B" w:rsidR="00CE4B8D" w:rsidRDefault="00CE4B8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Media 0</w:t>
            </w:r>
          </w:p>
        </w:tc>
        <w:tc>
          <w:tcPr>
            <w:tcW w:w="1559" w:type="dxa"/>
          </w:tcPr>
          <w:p w14:paraId="5275D06C" w14:textId="75CEAC32" w:rsidR="00CE4B8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559" w:type="dxa"/>
          </w:tcPr>
          <w:p w14:paraId="0CC9B1E1" w14:textId="2D96A129" w:rsidR="00CE4B8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560" w:type="dxa"/>
          </w:tcPr>
          <w:p w14:paraId="30B9B4C5" w14:textId="6043F6B9" w:rsidR="00CE4B8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603" w:type="dxa"/>
          </w:tcPr>
          <w:p w14:paraId="5F58AD9A" w14:textId="363C2279" w:rsidR="00CE4B8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</w:tr>
      <w:tr w:rsidR="00CE4B8D" w14:paraId="19B3BC51" w14:textId="77777777" w:rsidTr="00B37ECD">
        <w:tc>
          <w:tcPr>
            <w:tcW w:w="2547" w:type="dxa"/>
          </w:tcPr>
          <w:p w14:paraId="33576359" w14:textId="1D734AB3" w:rsidR="00CE4B8D" w:rsidRDefault="00CE4B8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Mediana 0</w:t>
            </w:r>
          </w:p>
        </w:tc>
        <w:tc>
          <w:tcPr>
            <w:tcW w:w="1559" w:type="dxa"/>
          </w:tcPr>
          <w:p w14:paraId="3A8B21A1" w14:textId="14B0FBB8" w:rsidR="00CE4B8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559" w:type="dxa"/>
          </w:tcPr>
          <w:p w14:paraId="0695DE3B" w14:textId="0219A9E0" w:rsidR="00CE4B8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560" w:type="dxa"/>
          </w:tcPr>
          <w:p w14:paraId="3E7B2E83" w14:textId="2A5CFDA3" w:rsidR="00CE4B8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603" w:type="dxa"/>
          </w:tcPr>
          <w:p w14:paraId="16B43075" w14:textId="3C034B02" w:rsidR="00CE4B8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</w:tr>
      <w:tr w:rsidR="00CE4B8D" w14:paraId="572D656E" w14:textId="77777777" w:rsidTr="00B37ECD">
        <w:tc>
          <w:tcPr>
            <w:tcW w:w="2547" w:type="dxa"/>
          </w:tcPr>
          <w:p w14:paraId="1F4C31AA" w14:textId="2E4F0472" w:rsidR="00CE4B8D" w:rsidRDefault="00CE4B8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Media y mediana cercanas</w:t>
            </w:r>
          </w:p>
        </w:tc>
        <w:tc>
          <w:tcPr>
            <w:tcW w:w="1559" w:type="dxa"/>
          </w:tcPr>
          <w:p w14:paraId="491A101D" w14:textId="64B57791" w:rsidR="00CE4B8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559" w:type="dxa"/>
          </w:tcPr>
          <w:p w14:paraId="07E8FBB6" w14:textId="27BC6920" w:rsidR="00CE4B8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560" w:type="dxa"/>
          </w:tcPr>
          <w:p w14:paraId="100D1A0F" w14:textId="4C7B154E" w:rsidR="00CE4B8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603" w:type="dxa"/>
          </w:tcPr>
          <w:p w14:paraId="61AD79FA" w14:textId="65615767" w:rsidR="00CE4B8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</w:tr>
      <w:tr w:rsidR="00CE4B8D" w14:paraId="2F03673E" w14:textId="77777777" w:rsidTr="00B37ECD">
        <w:tc>
          <w:tcPr>
            <w:tcW w:w="2547" w:type="dxa"/>
          </w:tcPr>
          <w:p w14:paraId="0398FF3C" w14:textId="12E25F17" w:rsidR="00CE4B8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Sesgo bajo</w:t>
            </w:r>
          </w:p>
        </w:tc>
        <w:tc>
          <w:tcPr>
            <w:tcW w:w="1559" w:type="dxa"/>
          </w:tcPr>
          <w:p w14:paraId="1F846535" w14:textId="20B8D895" w:rsidR="00CE4B8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559" w:type="dxa"/>
          </w:tcPr>
          <w:p w14:paraId="352B75E0" w14:textId="7EE7FC48" w:rsidR="00CE4B8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3</w:t>
            </w:r>
          </w:p>
        </w:tc>
        <w:tc>
          <w:tcPr>
            <w:tcW w:w="1560" w:type="dxa"/>
          </w:tcPr>
          <w:p w14:paraId="5F55E120" w14:textId="06B170E0" w:rsidR="00CE4B8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8</w:t>
            </w:r>
          </w:p>
        </w:tc>
        <w:tc>
          <w:tcPr>
            <w:tcW w:w="1603" w:type="dxa"/>
          </w:tcPr>
          <w:p w14:paraId="7CAA5ECA" w14:textId="097C2B64" w:rsidR="00CE4B8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10</w:t>
            </w:r>
          </w:p>
        </w:tc>
      </w:tr>
      <w:tr w:rsidR="00CE4B8D" w14:paraId="4B798DBB" w14:textId="77777777" w:rsidTr="00B37ECD">
        <w:tc>
          <w:tcPr>
            <w:tcW w:w="2547" w:type="dxa"/>
          </w:tcPr>
          <w:p w14:paraId="309C72BE" w14:textId="488FDE3A" w:rsidR="00CE4B8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lastRenderedPageBreak/>
              <w:t>Curtosis positiva</w:t>
            </w:r>
          </w:p>
        </w:tc>
        <w:tc>
          <w:tcPr>
            <w:tcW w:w="1559" w:type="dxa"/>
          </w:tcPr>
          <w:p w14:paraId="7CEAA5DB" w14:textId="6E599CF9" w:rsidR="00CE4B8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559" w:type="dxa"/>
          </w:tcPr>
          <w:p w14:paraId="50E9C3A9" w14:textId="0576558B" w:rsidR="00CE4B8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560" w:type="dxa"/>
          </w:tcPr>
          <w:p w14:paraId="33040309" w14:textId="28ED28EE" w:rsidR="00CE4B8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603" w:type="dxa"/>
          </w:tcPr>
          <w:p w14:paraId="3BF5458A" w14:textId="7B99491B" w:rsidR="00CE4B8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</w:tr>
      <w:tr w:rsidR="00B37ECD" w14:paraId="13702410" w14:textId="77777777" w:rsidTr="00B37ECD">
        <w:tc>
          <w:tcPr>
            <w:tcW w:w="2547" w:type="dxa"/>
          </w:tcPr>
          <w:p w14:paraId="6DDF2D83" w14:textId="624E7CB3" w:rsidR="00B37EC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Desviación estándar positiva</w:t>
            </w:r>
          </w:p>
        </w:tc>
        <w:tc>
          <w:tcPr>
            <w:tcW w:w="1559" w:type="dxa"/>
          </w:tcPr>
          <w:p w14:paraId="25E1FBB1" w14:textId="60CDEB21" w:rsidR="00B37EC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7</w:t>
            </w:r>
          </w:p>
        </w:tc>
        <w:tc>
          <w:tcPr>
            <w:tcW w:w="1559" w:type="dxa"/>
          </w:tcPr>
          <w:p w14:paraId="69818DF0" w14:textId="24C651DD" w:rsidR="00B37EC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1</w:t>
            </w:r>
          </w:p>
        </w:tc>
        <w:tc>
          <w:tcPr>
            <w:tcW w:w="1560" w:type="dxa"/>
          </w:tcPr>
          <w:p w14:paraId="2A2F2BD2" w14:textId="2D47F2E7" w:rsidR="00B37EC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603" w:type="dxa"/>
          </w:tcPr>
          <w:p w14:paraId="6EB0E5E3" w14:textId="42969056" w:rsidR="00B37EC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</w:tr>
      <w:tr w:rsidR="00B37ECD" w14:paraId="672DD1A5" w14:textId="77777777" w:rsidTr="00B37ECD">
        <w:tc>
          <w:tcPr>
            <w:tcW w:w="2547" w:type="dxa"/>
          </w:tcPr>
          <w:p w14:paraId="5024312F" w14:textId="56F3C4B3" w:rsidR="00B37EC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Rango intercuartílico positiva</w:t>
            </w:r>
          </w:p>
        </w:tc>
        <w:tc>
          <w:tcPr>
            <w:tcW w:w="1559" w:type="dxa"/>
          </w:tcPr>
          <w:p w14:paraId="177FBAD5" w14:textId="56C2449A" w:rsidR="00B37EC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6</w:t>
            </w:r>
          </w:p>
        </w:tc>
        <w:tc>
          <w:tcPr>
            <w:tcW w:w="1559" w:type="dxa"/>
          </w:tcPr>
          <w:p w14:paraId="1A2F404B" w14:textId="673F60ED" w:rsidR="00B37EC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2</w:t>
            </w:r>
          </w:p>
        </w:tc>
        <w:tc>
          <w:tcPr>
            <w:tcW w:w="1560" w:type="dxa"/>
          </w:tcPr>
          <w:p w14:paraId="21C23897" w14:textId="3C3E437D" w:rsidR="00B37EC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603" w:type="dxa"/>
          </w:tcPr>
          <w:p w14:paraId="3301CD4D" w14:textId="252C1314" w:rsidR="00B37ECD" w:rsidRDefault="00B37ECD" w:rsidP="00CE4B8D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</w:tr>
    </w:tbl>
    <w:p w14:paraId="1156FECD" w14:textId="77777777" w:rsidR="004E2661" w:rsidRDefault="004E2661">
      <w:pPr>
        <w:rPr>
          <w:rFonts w:ascii="Times New Roman" w:hAnsi="Times New Roman" w:cs="Times New Roman"/>
          <w:lang w:val="es-US"/>
        </w:rPr>
      </w:pPr>
    </w:p>
    <w:p w14:paraId="35B42035" w14:textId="417DD201" w:rsidR="00ED5F7C" w:rsidRDefault="00ED5F7C" w:rsidP="00ED5F7C">
      <w:pPr>
        <w:jc w:val="both"/>
        <w:rPr>
          <w:rFonts w:ascii="Times New Roman" w:hAnsi="Times New Roman" w:cs="Times New Roman"/>
          <w:lang w:val="es-US"/>
        </w:rPr>
      </w:pPr>
      <w:r w:rsidRPr="00955EEB">
        <w:rPr>
          <w:rFonts w:ascii="Times New Roman" w:hAnsi="Times New Roman" w:cs="Times New Roman"/>
          <w:b/>
          <w:bCs/>
          <w:lang w:val="es-US"/>
        </w:rPr>
        <w:t xml:space="preserve">Cuadro </w:t>
      </w:r>
      <w:r w:rsidR="00591CB4">
        <w:rPr>
          <w:rFonts w:ascii="Times New Roman" w:hAnsi="Times New Roman" w:cs="Times New Roman"/>
          <w:b/>
          <w:bCs/>
          <w:lang w:val="es-US"/>
        </w:rPr>
        <w:t>6</w:t>
      </w:r>
      <w:r w:rsidRPr="00955EEB">
        <w:rPr>
          <w:rFonts w:ascii="Times New Roman" w:hAnsi="Times New Roman" w:cs="Times New Roman"/>
          <w:b/>
          <w:bCs/>
          <w:lang w:val="es-US"/>
        </w:rPr>
        <w:t>:</w:t>
      </w:r>
      <w:r>
        <w:rPr>
          <w:rFonts w:ascii="Times New Roman" w:hAnsi="Times New Roman" w:cs="Times New Roman"/>
          <w:lang w:val="es-US"/>
        </w:rPr>
        <w:t xml:space="preserve"> </w:t>
      </w:r>
      <w:r w:rsidR="00A468E4">
        <w:rPr>
          <w:rFonts w:ascii="Times New Roman" w:hAnsi="Times New Roman" w:cs="Times New Roman"/>
          <w:lang w:val="es-US"/>
        </w:rPr>
        <w:t>Cantidad</w:t>
      </w:r>
      <w:r>
        <w:rPr>
          <w:rFonts w:ascii="Times New Roman" w:hAnsi="Times New Roman" w:cs="Times New Roman"/>
          <w:lang w:val="es-US"/>
        </w:rPr>
        <w:t xml:space="preserve"> de columnas que no cumplen con </w:t>
      </w:r>
      <w:r w:rsidR="00A50D47">
        <w:rPr>
          <w:rFonts w:ascii="Times New Roman" w:hAnsi="Times New Roman" w:cs="Times New Roman"/>
          <w:lang w:val="es-US"/>
        </w:rPr>
        <w:t>supuestos</w:t>
      </w:r>
      <w:r>
        <w:rPr>
          <w:rFonts w:ascii="Times New Roman" w:hAnsi="Times New Roman" w:cs="Times New Roman"/>
          <w:lang w:val="es-US"/>
        </w:rPr>
        <w:t xml:space="preserve"> deseados, para conjuntos diferenciados provenientes de train preprocesado a escala logarítmica y solo con columnas útiles.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559"/>
        <w:gridCol w:w="1559"/>
        <w:gridCol w:w="1560"/>
        <w:gridCol w:w="1603"/>
      </w:tblGrid>
      <w:tr w:rsidR="00A468E4" w14:paraId="51312687" w14:textId="77777777" w:rsidTr="006102E7">
        <w:tc>
          <w:tcPr>
            <w:tcW w:w="2547" w:type="dxa"/>
          </w:tcPr>
          <w:p w14:paraId="63E4C08B" w14:textId="77777777" w:rsidR="00A468E4" w:rsidRPr="00CE4B8D" w:rsidRDefault="00A468E4" w:rsidP="006102E7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 w:rsidRPr="00CE4B8D">
              <w:rPr>
                <w:rFonts w:ascii="Times New Roman" w:hAnsi="Times New Roman" w:cs="Times New Roman"/>
                <w:b/>
                <w:bCs/>
                <w:lang w:val="es-US"/>
              </w:rPr>
              <w:t>Criterio</w:t>
            </w:r>
          </w:p>
        </w:tc>
        <w:tc>
          <w:tcPr>
            <w:tcW w:w="1559" w:type="dxa"/>
          </w:tcPr>
          <w:p w14:paraId="59BB8124" w14:textId="77777777" w:rsidR="00A468E4" w:rsidRPr="00CE4B8D" w:rsidRDefault="00A468E4" w:rsidP="006102E7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 w:rsidRPr="00CE4B8D">
              <w:rPr>
                <w:rFonts w:ascii="Times New Roman" w:hAnsi="Times New Roman" w:cs="Times New Roman"/>
                <w:b/>
                <w:bCs/>
                <w:lang w:val="es-US"/>
              </w:rPr>
              <w:t>Diferencia 1</w:t>
            </w:r>
          </w:p>
        </w:tc>
        <w:tc>
          <w:tcPr>
            <w:tcW w:w="1559" w:type="dxa"/>
          </w:tcPr>
          <w:p w14:paraId="09562A75" w14:textId="77777777" w:rsidR="00A468E4" w:rsidRPr="00CE4B8D" w:rsidRDefault="00A468E4" w:rsidP="006102E7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 w:rsidRPr="00CE4B8D">
              <w:rPr>
                <w:rFonts w:ascii="Times New Roman" w:hAnsi="Times New Roman" w:cs="Times New Roman"/>
                <w:b/>
                <w:bCs/>
                <w:lang w:val="es-US"/>
              </w:rPr>
              <w:t>Diferencia 2</w:t>
            </w:r>
          </w:p>
        </w:tc>
        <w:tc>
          <w:tcPr>
            <w:tcW w:w="1560" w:type="dxa"/>
          </w:tcPr>
          <w:p w14:paraId="49A77EF4" w14:textId="77777777" w:rsidR="00A468E4" w:rsidRPr="00CE4B8D" w:rsidRDefault="00A468E4" w:rsidP="006102E7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 w:rsidRPr="00CE4B8D">
              <w:rPr>
                <w:rFonts w:ascii="Times New Roman" w:hAnsi="Times New Roman" w:cs="Times New Roman"/>
                <w:b/>
                <w:bCs/>
                <w:lang w:val="es-US"/>
              </w:rPr>
              <w:t>Diferencia 3</w:t>
            </w:r>
          </w:p>
        </w:tc>
        <w:tc>
          <w:tcPr>
            <w:tcW w:w="1603" w:type="dxa"/>
          </w:tcPr>
          <w:p w14:paraId="39BE362D" w14:textId="77777777" w:rsidR="00A468E4" w:rsidRPr="00CE4B8D" w:rsidRDefault="00A468E4" w:rsidP="006102E7">
            <w:pPr>
              <w:jc w:val="center"/>
              <w:rPr>
                <w:rFonts w:ascii="Times New Roman" w:hAnsi="Times New Roman" w:cs="Times New Roman"/>
                <w:b/>
                <w:bCs/>
                <w:lang w:val="es-US"/>
              </w:rPr>
            </w:pPr>
            <w:r w:rsidRPr="00CE4B8D">
              <w:rPr>
                <w:rFonts w:ascii="Times New Roman" w:hAnsi="Times New Roman" w:cs="Times New Roman"/>
                <w:b/>
                <w:bCs/>
                <w:lang w:val="es-US"/>
              </w:rPr>
              <w:t>Diferencia 4</w:t>
            </w:r>
          </w:p>
        </w:tc>
      </w:tr>
      <w:tr w:rsidR="00A468E4" w14:paraId="00A772A8" w14:textId="77777777" w:rsidTr="006102E7">
        <w:tc>
          <w:tcPr>
            <w:tcW w:w="2547" w:type="dxa"/>
          </w:tcPr>
          <w:p w14:paraId="659FDC23" w14:textId="3527296F" w:rsidR="00A468E4" w:rsidRDefault="00A468E4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Estacionariedad de media</w:t>
            </w:r>
          </w:p>
        </w:tc>
        <w:tc>
          <w:tcPr>
            <w:tcW w:w="1559" w:type="dxa"/>
          </w:tcPr>
          <w:p w14:paraId="40CD156A" w14:textId="767EC0D4" w:rsidR="00A468E4" w:rsidRDefault="00A468E4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1</w:t>
            </w:r>
          </w:p>
        </w:tc>
        <w:tc>
          <w:tcPr>
            <w:tcW w:w="1559" w:type="dxa"/>
          </w:tcPr>
          <w:p w14:paraId="16BB502A" w14:textId="7AE19DD9" w:rsidR="00A468E4" w:rsidRDefault="00A468E4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1</w:t>
            </w:r>
          </w:p>
        </w:tc>
        <w:tc>
          <w:tcPr>
            <w:tcW w:w="1560" w:type="dxa"/>
          </w:tcPr>
          <w:p w14:paraId="2AFF07C4" w14:textId="2AF9FBEE" w:rsidR="00A468E4" w:rsidRDefault="00A468E4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2</w:t>
            </w:r>
          </w:p>
        </w:tc>
        <w:tc>
          <w:tcPr>
            <w:tcW w:w="1603" w:type="dxa"/>
          </w:tcPr>
          <w:p w14:paraId="14D9C000" w14:textId="3D113A3F" w:rsidR="00A468E4" w:rsidRDefault="00A468E4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2</w:t>
            </w:r>
          </w:p>
        </w:tc>
      </w:tr>
      <w:tr w:rsidR="00A468E4" w14:paraId="27E37988" w14:textId="77777777" w:rsidTr="006102E7">
        <w:tc>
          <w:tcPr>
            <w:tcW w:w="2547" w:type="dxa"/>
          </w:tcPr>
          <w:p w14:paraId="32E6426A" w14:textId="32F76AE0" w:rsidR="00A468E4" w:rsidRDefault="00A468E4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Estacionariedad de varianza</w:t>
            </w:r>
          </w:p>
        </w:tc>
        <w:tc>
          <w:tcPr>
            <w:tcW w:w="1559" w:type="dxa"/>
          </w:tcPr>
          <w:p w14:paraId="468EBCDE" w14:textId="5D21A0BF" w:rsidR="00A468E4" w:rsidRDefault="00A468E4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106</w:t>
            </w:r>
          </w:p>
        </w:tc>
        <w:tc>
          <w:tcPr>
            <w:tcW w:w="1559" w:type="dxa"/>
          </w:tcPr>
          <w:p w14:paraId="6CF06640" w14:textId="0764AFEE" w:rsidR="00A468E4" w:rsidRDefault="00A468E4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106</w:t>
            </w:r>
          </w:p>
        </w:tc>
        <w:tc>
          <w:tcPr>
            <w:tcW w:w="1560" w:type="dxa"/>
          </w:tcPr>
          <w:p w14:paraId="5D8FA66D" w14:textId="6C507E8E" w:rsidR="00A468E4" w:rsidRDefault="00A468E4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106</w:t>
            </w:r>
          </w:p>
        </w:tc>
        <w:tc>
          <w:tcPr>
            <w:tcW w:w="1603" w:type="dxa"/>
          </w:tcPr>
          <w:p w14:paraId="6AF08321" w14:textId="54D2C3C3" w:rsidR="00A468E4" w:rsidRDefault="00A468E4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106</w:t>
            </w:r>
          </w:p>
        </w:tc>
      </w:tr>
      <w:tr w:rsidR="00A468E4" w14:paraId="461D2D53" w14:textId="77777777" w:rsidTr="006102E7">
        <w:tc>
          <w:tcPr>
            <w:tcW w:w="2547" w:type="dxa"/>
          </w:tcPr>
          <w:p w14:paraId="5CBA29A6" w14:textId="10613D15" w:rsidR="00A468E4" w:rsidRDefault="00A468E4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Volatilidad a través del tiempo</w:t>
            </w:r>
          </w:p>
        </w:tc>
        <w:tc>
          <w:tcPr>
            <w:tcW w:w="1559" w:type="dxa"/>
          </w:tcPr>
          <w:p w14:paraId="6CDCBDF0" w14:textId="5F9AA1AD" w:rsidR="00A468E4" w:rsidRDefault="008F2C29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559" w:type="dxa"/>
          </w:tcPr>
          <w:p w14:paraId="6B6F8AF5" w14:textId="4A39433D" w:rsidR="00A468E4" w:rsidRDefault="008F2C29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560" w:type="dxa"/>
          </w:tcPr>
          <w:p w14:paraId="3132D310" w14:textId="11D54963" w:rsidR="00A468E4" w:rsidRDefault="008F2C29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603" w:type="dxa"/>
          </w:tcPr>
          <w:p w14:paraId="05D7E29C" w14:textId="3E6D26B8" w:rsidR="00A468E4" w:rsidRDefault="008F2C29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</w:tr>
      <w:tr w:rsidR="00A468E4" w14:paraId="32052842" w14:textId="77777777" w:rsidTr="006102E7">
        <w:tc>
          <w:tcPr>
            <w:tcW w:w="2547" w:type="dxa"/>
          </w:tcPr>
          <w:p w14:paraId="68609AE6" w14:textId="5C8E1C4E" w:rsidR="00A468E4" w:rsidRDefault="00D31192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Autocorrelación ACF</w:t>
            </w:r>
          </w:p>
        </w:tc>
        <w:tc>
          <w:tcPr>
            <w:tcW w:w="1559" w:type="dxa"/>
          </w:tcPr>
          <w:p w14:paraId="5D2349E9" w14:textId="75AE5177" w:rsidR="00A468E4" w:rsidRDefault="00D31192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1</w:t>
            </w:r>
          </w:p>
        </w:tc>
        <w:tc>
          <w:tcPr>
            <w:tcW w:w="1559" w:type="dxa"/>
          </w:tcPr>
          <w:p w14:paraId="2DD7601D" w14:textId="0D12AB3F" w:rsidR="00A468E4" w:rsidRDefault="00D31192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560" w:type="dxa"/>
          </w:tcPr>
          <w:p w14:paraId="3A8F04AA" w14:textId="7E4DDA8D" w:rsidR="00A468E4" w:rsidRDefault="00D31192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603" w:type="dxa"/>
          </w:tcPr>
          <w:p w14:paraId="1BB2B637" w14:textId="0BC65826" w:rsidR="00A468E4" w:rsidRDefault="00D31192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</w:tr>
      <w:tr w:rsidR="00D31192" w14:paraId="6745A0AD" w14:textId="77777777" w:rsidTr="006102E7">
        <w:tc>
          <w:tcPr>
            <w:tcW w:w="2547" w:type="dxa"/>
          </w:tcPr>
          <w:p w14:paraId="17C1105E" w14:textId="094D4DCC" w:rsidR="00D31192" w:rsidRDefault="00D31192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Autocorrelación PACF</w:t>
            </w:r>
          </w:p>
        </w:tc>
        <w:tc>
          <w:tcPr>
            <w:tcW w:w="1559" w:type="dxa"/>
          </w:tcPr>
          <w:p w14:paraId="649D9E91" w14:textId="3B783193" w:rsidR="00D31192" w:rsidRDefault="00D31192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1</w:t>
            </w:r>
          </w:p>
        </w:tc>
        <w:tc>
          <w:tcPr>
            <w:tcW w:w="1559" w:type="dxa"/>
          </w:tcPr>
          <w:p w14:paraId="0DD91844" w14:textId="2040575F" w:rsidR="00D31192" w:rsidRDefault="00D31192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560" w:type="dxa"/>
          </w:tcPr>
          <w:p w14:paraId="5C849848" w14:textId="5F6495ED" w:rsidR="00D31192" w:rsidRDefault="00D31192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  <w:tc>
          <w:tcPr>
            <w:tcW w:w="1603" w:type="dxa"/>
          </w:tcPr>
          <w:p w14:paraId="65D2E91B" w14:textId="30D88AB4" w:rsidR="00D31192" w:rsidRDefault="00D31192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0</w:t>
            </w:r>
          </w:p>
        </w:tc>
      </w:tr>
      <w:tr w:rsidR="00D31192" w14:paraId="02649B1B" w14:textId="77777777" w:rsidTr="006102E7">
        <w:tc>
          <w:tcPr>
            <w:tcW w:w="2547" w:type="dxa"/>
          </w:tcPr>
          <w:p w14:paraId="35AC8E32" w14:textId="56CEBC9D" w:rsidR="00D31192" w:rsidRDefault="00D31192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Estacionalidad</w:t>
            </w:r>
          </w:p>
        </w:tc>
        <w:tc>
          <w:tcPr>
            <w:tcW w:w="1559" w:type="dxa"/>
          </w:tcPr>
          <w:p w14:paraId="37D7EB4E" w14:textId="02D05550" w:rsidR="00D31192" w:rsidRDefault="00D31192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86</w:t>
            </w:r>
          </w:p>
        </w:tc>
        <w:tc>
          <w:tcPr>
            <w:tcW w:w="1559" w:type="dxa"/>
          </w:tcPr>
          <w:p w14:paraId="716AF2B0" w14:textId="07F505BC" w:rsidR="00D31192" w:rsidRDefault="00D31192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96</w:t>
            </w:r>
          </w:p>
        </w:tc>
        <w:tc>
          <w:tcPr>
            <w:tcW w:w="1560" w:type="dxa"/>
          </w:tcPr>
          <w:p w14:paraId="2EED4499" w14:textId="12A02CBB" w:rsidR="00D31192" w:rsidRDefault="00D31192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101</w:t>
            </w:r>
          </w:p>
        </w:tc>
        <w:tc>
          <w:tcPr>
            <w:tcW w:w="1603" w:type="dxa"/>
          </w:tcPr>
          <w:p w14:paraId="5F6D6265" w14:textId="38B90D86" w:rsidR="00D31192" w:rsidRDefault="00D31192" w:rsidP="006102E7">
            <w:pPr>
              <w:jc w:val="center"/>
              <w:rPr>
                <w:rFonts w:ascii="Times New Roman" w:hAnsi="Times New Roman" w:cs="Times New Roman"/>
                <w:lang w:val="es-US"/>
              </w:rPr>
            </w:pPr>
            <w:r>
              <w:rPr>
                <w:rFonts w:ascii="Times New Roman" w:hAnsi="Times New Roman" w:cs="Times New Roman"/>
                <w:lang w:val="es-US"/>
              </w:rPr>
              <w:t>88</w:t>
            </w:r>
          </w:p>
        </w:tc>
      </w:tr>
    </w:tbl>
    <w:p w14:paraId="3DF9A047" w14:textId="76739881" w:rsidR="00D31192" w:rsidRDefault="00A50D47" w:rsidP="00A0775D">
      <w:pPr>
        <w:jc w:val="both"/>
        <w:rPr>
          <w:rFonts w:ascii="Times New Roman" w:hAnsi="Times New Roman" w:cs="Times New Roman"/>
          <w:lang w:val="es-US"/>
        </w:rPr>
      </w:pPr>
      <w:r>
        <w:rPr>
          <w:rFonts w:ascii="Times New Roman" w:hAnsi="Times New Roman" w:cs="Times New Roman"/>
          <w:lang w:val="es-US"/>
        </w:rPr>
        <w:t>Algunos supuestos no se cumplen en algunas columnas, pero al tener como candidatos a modelos de volatilidad y a SARIMA/SARFIMA tenemos la capacidad de generar buenos modelos, ya que los supuestos son distintos, ya que los de volatilidad se suelen usar cuando no hay estacionariedad en varianza.</w:t>
      </w:r>
    </w:p>
    <w:p w14:paraId="727FD824" w14:textId="42FB7DDB" w:rsidR="00E65397" w:rsidRDefault="00E65397" w:rsidP="00E65397">
      <w:pPr>
        <w:jc w:val="both"/>
        <w:rPr>
          <w:rFonts w:ascii="Times New Roman" w:hAnsi="Times New Roman" w:cs="Times New Roman"/>
          <w:lang w:val="es-US"/>
        </w:rPr>
      </w:pPr>
      <w:r w:rsidRPr="00591CB4">
        <w:rPr>
          <w:rFonts w:ascii="Times New Roman" w:hAnsi="Times New Roman" w:cs="Times New Roman"/>
          <w:b/>
          <w:bCs/>
          <w:lang w:val="es-US"/>
        </w:rPr>
        <w:t xml:space="preserve">Figura </w:t>
      </w:r>
      <w:r>
        <w:rPr>
          <w:rFonts w:ascii="Times New Roman" w:hAnsi="Times New Roman" w:cs="Times New Roman"/>
          <w:b/>
          <w:bCs/>
          <w:lang w:val="es-US"/>
        </w:rPr>
        <w:t>1</w:t>
      </w:r>
      <w:r w:rsidRPr="00591CB4">
        <w:rPr>
          <w:rFonts w:ascii="Times New Roman" w:hAnsi="Times New Roman" w:cs="Times New Roman"/>
          <w:b/>
          <w:bCs/>
          <w:lang w:val="es-US"/>
        </w:rPr>
        <w:t>:</w:t>
      </w:r>
      <w:r>
        <w:rPr>
          <w:rFonts w:ascii="Times New Roman" w:hAnsi="Times New Roman" w:cs="Times New Roman"/>
          <w:lang w:val="es-US"/>
        </w:rPr>
        <w:t xml:space="preserve"> Muestra del conjunto train.</w:t>
      </w:r>
    </w:p>
    <w:p w14:paraId="494E8CB5" w14:textId="45181838" w:rsidR="00E65397" w:rsidRDefault="00E65397" w:rsidP="00A0775D">
      <w:pPr>
        <w:jc w:val="both"/>
        <w:rPr>
          <w:rFonts w:ascii="Times New Roman" w:hAnsi="Times New Roman" w:cs="Times New Roman"/>
          <w:lang w:val="es-US"/>
        </w:rPr>
      </w:pPr>
      <w:r w:rsidRPr="00E65397">
        <w:rPr>
          <w:rFonts w:ascii="Times New Roman" w:hAnsi="Times New Roman" w:cs="Times New Roman"/>
          <w:lang w:val="es-US"/>
        </w:rPr>
        <w:drawing>
          <wp:anchor distT="0" distB="0" distL="114300" distR="114300" simplePos="0" relativeHeight="251660288" behindDoc="0" locked="0" layoutInCell="1" allowOverlap="1" wp14:anchorId="0CBB83FA" wp14:editId="03C056DA">
            <wp:simplePos x="0" y="0"/>
            <wp:positionH relativeFrom="margin">
              <wp:posOffset>-22225</wp:posOffset>
            </wp:positionH>
            <wp:positionV relativeFrom="paragraph">
              <wp:posOffset>3175</wp:posOffset>
            </wp:positionV>
            <wp:extent cx="4819650" cy="2607310"/>
            <wp:effectExtent l="0" t="0" r="0" b="2540"/>
            <wp:wrapThrough wrapText="bothSides">
              <wp:wrapPolygon edited="0">
                <wp:start x="0" y="0"/>
                <wp:lineTo x="0" y="21463"/>
                <wp:lineTo x="21515" y="21463"/>
                <wp:lineTo x="21515" y="0"/>
                <wp:lineTo x="0" y="0"/>
              </wp:wrapPolygon>
            </wp:wrapThrough>
            <wp:docPr id="17247257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72570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CF3814" w14:textId="77777777" w:rsidR="00E65397" w:rsidRDefault="00E65397" w:rsidP="00A0775D">
      <w:pPr>
        <w:jc w:val="both"/>
        <w:rPr>
          <w:rFonts w:ascii="Times New Roman" w:hAnsi="Times New Roman" w:cs="Times New Roman"/>
          <w:lang w:val="es-US"/>
        </w:rPr>
      </w:pPr>
    </w:p>
    <w:p w14:paraId="12DC8A69" w14:textId="09AA2DEF" w:rsidR="00E65397" w:rsidRDefault="00E65397" w:rsidP="00A0775D">
      <w:pPr>
        <w:jc w:val="both"/>
        <w:rPr>
          <w:rFonts w:ascii="Times New Roman" w:hAnsi="Times New Roman" w:cs="Times New Roman"/>
          <w:lang w:val="es-US"/>
        </w:rPr>
      </w:pPr>
    </w:p>
    <w:p w14:paraId="45FCFB6A" w14:textId="319F3601" w:rsidR="00E65397" w:rsidRDefault="00E65397" w:rsidP="00A0775D">
      <w:pPr>
        <w:jc w:val="both"/>
        <w:rPr>
          <w:rFonts w:ascii="Times New Roman" w:hAnsi="Times New Roman" w:cs="Times New Roman"/>
          <w:lang w:val="es-US"/>
        </w:rPr>
      </w:pPr>
    </w:p>
    <w:p w14:paraId="359F0FCD" w14:textId="77777777" w:rsidR="00E65397" w:rsidRDefault="00E65397" w:rsidP="00A0775D">
      <w:pPr>
        <w:jc w:val="both"/>
        <w:rPr>
          <w:rFonts w:ascii="Times New Roman" w:hAnsi="Times New Roman" w:cs="Times New Roman"/>
          <w:lang w:val="es-US"/>
        </w:rPr>
      </w:pPr>
    </w:p>
    <w:p w14:paraId="267E0E8D" w14:textId="77777777" w:rsidR="00E65397" w:rsidRDefault="00E65397" w:rsidP="00A0775D">
      <w:pPr>
        <w:jc w:val="both"/>
        <w:rPr>
          <w:rFonts w:ascii="Times New Roman" w:hAnsi="Times New Roman" w:cs="Times New Roman"/>
          <w:lang w:val="es-US"/>
        </w:rPr>
      </w:pPr>
    </w:p>
    <w:p w14:paraId="3C406CC3" w14:textId="77777777" w:rsidR="00E65397" w:rsidRDefault="00E65397" w:rsidP="00A0775D">
      <w:pPr>
        <w:jc w:val="both"/>
        <w:rPr>
          <w:rFonts w:ascii="Times New Roman" w:hAnsi="Times New Roman" w:cs="Times New Roman"/>
          <w:lang w:val="es-US"/>
        </w:rPr>
      </w:pPr>
    </w:p>
    <w:p w14:paraId="29A303F0" w14:textId="77777777" w:rsidR="00E65397" w:rsidRDefault="00E65397" w:rsidP="00A0775D">
      <w:pPr>
        <w:jc w:val="both"/>
        <w:rPr>
          <w:rFonts w:ascii="Times New Roman" w:hAnsi="Times New Roman" w:cs="Times New Roman"/>
          <w:lang w:val="es-US"/>
        </w:rPr>
      </w:pPr>
    </w:p>
    <w:p w14:paraId="7F2FC6CD" w14:textId="77777777" w:rsidR="00E65397" w:rsidRDefault="00E65397" w:rsidP="00A0775D">
      <w:pPr>
        <w:jc w:val="both"/>
        <w:rPr>
          <w:rFonts w:ascii="Times New Roman" w:hAnsi="Times New Roman" w:cs="Times New Roman"/>
          <w:lang w:val="es-US"/>
        </w:rPr>
      </w:pPr>
    </w:p>
    <w:p w14:paraId="53650875" w14:textId="77777777" w:rsidR="00E65397" w:rsidRDefault="00E65397" w:rsidP="00A0775D">
      <w:pPr>
        <w:jc w:val="both"/>
        <w:rPr>
          <w:rFonts w:ascii="Times New Roman" w:hAnsi="Times New Roman" w:cs="Times New Roman"/>
          <w:lang w:val="es-US"/>
        </w:rPr>
      </w:pPr>
    </w:p>
    <w:p w14:paraId="1D299A4B" w14:textId="77777777" w:rsidR="00E65397" w:rsidRDefault="00E65397" w:rsidP="00A0775D">
      <w:pPr>
        <w:jc w:val="both"/>
        <w:rPr>
          <w:rFonts w:ascii="Times New Roman" w:hAnsi="Times New Roman" w:cs="Times New Roman"/>
          <w:lang w:val="es-US"/>
        </w:rPr>
      </w:pPr>
    </w:p>
    <w:p w14:paraId="62B5FBD8" w14:textId="09FC2C49" w:rsidR="00591CB4" w:rsidRDefault="00591CB4" w:rsidP="00A0775D">
      <w:pPr>
        <w:jc w:val="both"/>
        <w:rPr>
          <w:rFonts w:ascii="Times New Roman" w:hAnsi="Times New Roman" w:cs="Times New Roman"/>
          <w:lang w:val="es-US"/>
        </w:rPr>
      </w:pPr>
      <w:r w:rsidRPr="00591CB4">
        <w:rPr>
          <w:rFonts w:ascii="Times New Roman" w:hAnsi="Times New Roman" w:cs="Times New Roman"/>
          <w:b/>
          <w:bCs/>
          <w:lang w:val="es-US"/>
        </w:rPr>
        <w:lastRenderedPageBreak/>
        <w:t xml:space="preserve">Figura </w:t>
      </w:r>
      <w:r w:rsidR="00E65397">
        <w:rPr>
          <w:rFonts w:ascii="Times New Roman" w:hAnsi="Times New Roman" w:cs="Times New Roman"/>
          <w:b/>
          <w:bCs/>
          <w:lang w:val="es-US"/>
        </w:rPr>
        <w:t>2</w:t>
      </w:r>
      <w:r w:rsidRPr="00591CB4">
        <w:rPr>
          <w:rFonts w:ascii="Times New Roman" w:hAnsi="Times New Roman" w:cs="Times New Roman"/>
          <w:b/>
          <w:bCs/>
          <w:lang w:val="es-US"/>
        </w:rPr>
        <w:t>:</w:t>
      </w:r>
      <w:r>
        <w:rPr>
          <w:rFonts w:ascii="Times New Roman" w:hAnsi="Times New Roman" w:cs="Times New Roman"/>
          <w:lang w:val="es-US"/>
        </w:rPr>
        <w:t xml:space="preserve"> Muestra del conjunto train ajustado a escala logarítmica.</w:t>
      </w:r>
    </w:p>
    <w:p w14:paraId="53B61476" w14:textId="2A3B9FD9" w:rsidR="00591CB4" w:rsidRDefault="00E65397" w:rsidP="00A0775D">
      <w:pPr>
        <w:jc w:val="both"/>
        <w:rPr>
          <w:rFonts w:ascii="Times New Roman" w:hAnsi="Times New Roman" w:cs="Times New Roman"/>
          <w:lang w:val="es-US"/>
        </w:rPr>
      </w:pPr>
      <w:r w:rsidRPr="00591CB4">
        <w:rPr>
          <w:rFonts w:ascii="Times New Roman" w:hAnsi="Times New Roman" w:cs="Times New Roman"/>
          <w:b/>
          <w:bCs/>
          <w:lang w:val="es-US"/>
        </w:rPr>
        <w:drawing>
          <wp:anchor distT="0" distB="0" distL="114300" distR="114300" simplePos="0" relativeHeight="251658240" behindDoc="0" locked="0" layoutInCell="1" allowOverlap="1" wp14:anchorId="094B845A" wp14:editId="163FB7B6">
            <wp:simplePos x="0" y="0"/>
            <wp:positionH relativeFrom="margin">
              <wp:align>left</wp:align>
            </wp:positionH>
            <wp:positionV relativeFrom="paragraph">
              <wp:posOffset>22860</wp:posOffset>
            </wp:positionV>
            <wp:extent cx="4673600" cy="2429510"/>
            <wp:effectExtent l="0" t="0" r="0" b="8890"/>
            <wp:wrapThrough wrapText="bothSides">
              <wp:wrapPolygon edited="0">
                <wp:start x="0" y="0"/>
                <wp:lineTo x="0" y="21510"/>
                <wp:lineTo x="21483" y="21510"/>
                <wp:lineTo x="21483" y="0"/>
                <wp:lineTo x="0" y="0"/>
              </wp:wrapPolygon>
            </wp:wrapThrough>
            <wp:docPr id="1059586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58665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8957" cy="24325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FAB87A" w14:textId="77777777" w:rsidR="00591CB4" w:rsidRDefault="00591CB4" w:rsidP="00A0775D">
      <w:pPr>
        <w:jc w:val="both"/>
        <w:rPr>
          <w:rFonts w:ascii="Times New Roman" w:hAnsi="Times New Roman" w:cs="Times New Roman"/>
          <w:lang w:val="es-US"/>
        </w:rPr>
      </w:pPr>
    </w:p>
    <w:p w14:paraId="11BF63FD" w14:textId="750C4969" w:rsidR="00591CB4" w:rsidRDefault="00591CB4" w:rsidP="00A0775D">
      <w:pPr>
        <w:jc w:val="both"/>
        <w:rPr>
          <w:rFonts w:ascii="Times New Roman" w:hAnsi="Times New Roman" w:cs="Times New Roman"/>
          <w:lang w:val="es-US"/>
        </w:rPr>
      </w:pPr>
    </w:p>
    <w:p w14:paraId="16C9BB6B" w14:textId="59624B9A" w:rsidR="00591CB4" w:rsidRDefault="00591CB4" w:rsidP="00A0775D">
      <w:pPr>
        <w:jc w:val="both"/>
        <w:rPr>
          <w:rFonts w:ascii="Times New Roman" w:hAnsi="Times New Roman" w:cs="Times New Roman"/>
          <w:lang w:val="es-US"/>
        </w:rPr>
      </w:pPr>
    </w:p>
    <w:p w14:paraId="11CC1A2B" w14:textId="77777777" w:rsidR="00591CB4" w:rsidRDefault="00591CB4" w:rsidP="00A0775D">
      <w:pPr>
        <w:jc w:val="both"/>
        <w:rPr>
          <w:rFonts w:ascii="Times New Roman" w:hAnsi="Times New Roman" w:cs="Times New Roman"/>
          <w:lang w:val="es-US"/>
        </w:rPr>
      </w:pPr>
    </w:p>
    <w:p w14:paraId="5814DED2" w14:textId="77777777" w:rsidR="00591CB4" w:rsidRDefault="00591CB4" w:rsidP="00A0775D">
      <w:pPr>
        <w:jc w:val="both"/>
        <w:rPr>
          <w:rFonts w:ascii="Times New Roman" w:hAnsi="Times New Roman" w:cs="Times New Roman"/>
          <w:lang w:val="es-US"/>
        </w:rPr>
      </w:pPr>
    </w:p>
    <w:p w14:paraId="420A0B5E" w14:textId="77777777" w:rsidR="00591CB4" w:rsidRDefault="00591CB4" w:rsidP="00A0775D">
      <w:pPr>
        <w:jc w:val="both"/>
        <w:rPr>
          <w:rFonts w:ascii="Times New Roman" w:hAnsi="Times New Roman" w:cs="Times New Roman"/>
          <w:lang w:val="es-US"/>
        </w:rPr>
      </w:pPr>
    </w:p>
    <w:p w14:paraId="116F40CD" w14:textId="77777777" w:rsidR="00591CB4" w:rsidRDefault="00591CB4" w:rsidP="00A0775D">
      <w:pPr>
        <w:jc w:val="both"/>
        <w:rPr>
          <w:rFonts w:ascii="Times New Roman" w:hAnsi="Times New Roman" w:cs="Times New Roman"/>
          <w:lang w:val="es-US"/>
        </w:rPr>
      </w:pPr>
    </w:p>
    <w:p w14:paraId="2EB0F658" w14:textId="77777777" w:rsidR="00591CB4" w:rsidRDefault="00591CB4" w:rsidP="00A0775D">
      <w:pPr>
        <w:jc w:val="both"/>
        <w:rPr>
          <w:rFonts w:ascii="Times New Roman" w:hAnsi="Times New Roman" w:cs="Times New Roman"/>
          <w:lang w:val="es-US"/>
        </w:rPr>
      </w:pPr>
    </w:p>
    <w:p w14:paraId="13CB5649" w14:textId="05B0C409" w:rsidR="00591CB4" w:rsidRDefault="00591CB4" w:rsidP="00A0775D">
      <w:pPr>
        <w:jc w:val="both"/>
        <w:rPr>
          <w:rFonts w:ascii="Times New Roman" w:hAnsi="Times New Roman" w:cs="Times New Roman"/>
          <w:lang w:val="es-US"/>
        </w:rPr>
      </w:pPr>
      <w:r w:rsidRPr="00591CB4">
        <w:rPr>
          <w:rFonts w:ascii="Times New Roman" w:hAnsi="Times New Roman" w:cs="Times New Roman"/>
          <w:b/>
          <w:bCs/>
          <w:lang w:val="es-US"/>
        </w:rPr>
        <w:t xml:space="preserve">Figura </w:t>
      </w:r>
      <w:r w:rsidR="00E65397">
        <w:rPr>
          <w:rFonts w:ascii="Times New Roman" w:hAnsi="Times New Roman" w:cs="Times New Roman"/>
          <w:b/>
          <w:bCs/>
          <w:lang w:val="es-US"/>
        </w:rPr>
        <w:t>3</w:t>
      </w:r>
      <w:r w:rsidRPr="00591CB4">
        <w:rPr>
          <w:rFonts w:ascii="Times New Roman" w:hAnsi="Times New Roman" w:cs="Times New Roman"/>
          <w:b/>
          <w:bCs/>
          <w:lang w:val="es-US"/>
        </w:rPr>
        <w:t>:</w:t>
      </w:r>
      <w:r>
        <w:rPr>
          <w:rFonts w:ascii="Times New Roman" w:hAnsi="Times New Roman" w:cs="Times New Roman"/>
          <w:lang w:val="es-US"/>
        </w:rPr>
        <w:t xml:space="preserve"> Muestra del conjunto train_labels.</w:t>
      </w:r>
    </w:p>
    <w:p w14:paraId="451BCDFC" w14:textId="0F81DB84" w:rsidR="00591CB4" w:rsidRDefault="00591CB4" w:rsidP="00A0775D">
      <w:pPr>
        <w:jc w:val="both"/>
        <w:rPr>
          <w:rFonts w:ascii="Times New Roman" w:hAnsi="Times New Roman" w:cs="Times New Roman"/>
          <w:lang w:val="es-US"/>
        </w:rPr>
      </w:pPr>
      <w:r w:rsidRPr="00591CB4">
        <w:rPr>
          <w:rFonts w:ascii="Times New Roman" w:hAnsi="Times New Roman" w:cs="Times New Roman"/>
          <w:lang w:val="es-US"/>
        </w:rPr>
        <w:drawing>
          <wp:anchor distT="0" distB="0" distL="114300" distR="114300" simplePos="0" relativeHeight="251659264" behindDoc="0" locked="0" layoutInCell="1" allowOverlap="1" wp14:anchorId="657CE50B" wp14:editId="0CA2A8A6">
            <wp:simplePos x="0" y="0"/>
            <wp:positionH relativeFrom="margin">
              <wp:align>left</wp:align>
            </wp:positionH>
            <wp:positionV relativeFrom="paragraph">
              <wp:posOffset>8467</wp:posOffset>
            </wp:positionV>
            <wp:extent cx="4637405" cy="2446655"/>
            <wp:effectExtent l="0" t="0" r="0" b="0"/>
            <wp:wrapThrough wrapText="bothSides">
              <wp:wrapPolygon edited="0">
                <wp:start x="0" y="0"/>
                <wp:lineTo x="0" y="21359"/>
                <wp:lineTo x="21473" y="21359"/>
                <wp:lineTo x="21473" y="0"/>
                <wp:lineTo x="0" y="0"/>
              </wp:wrapPolygon>
            </wp:wrapThrough>
            <wp:docPr id="11043717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7177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131" cy="24524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32CC08" w14:textId="33DBBA2B" w:rsidR="00591CB4" w:rsidRDefault="00591CB4" w:rsidP="00A0775D">
      <w:pPr>
        <w:jc w:val="both"/>
        <w:rPr>
          <w:rFonts w:ascii="Times New Roman" w:hAnsi="Times New Roman" w:cs="Times New Roman"/>
          <w:lang w:val="es-US"/>
        </w:rPr>
      </w:pPr>
    </w:p>
    <w:p w14:paraId="30EEB7B1" w14:textId="77777777" w:rsidR="00591CB4" w:rsidRDefault="00591CB4" w:rsidP="00A0775D">
      <w:pPr>
        <w:jc w:val="both"/>
        <w:rPr>
          <w:rFonts w:ascii="Times New Roman" w:hAnsi="Times New Roman" w:cs="Times New Roman"/>
          <w:lang w:val="es-US"/>
        </w:rPr>
      </w:pPr>
    </w:p>
    <w:p w14:paraId="01CFA9C3" w14:textId="77777777" w:rsidR="00591CB4" w:rsidRDefault="00591CB4" w:rsidP="00A0775D">
      <w:pPr>
        <w:jc w:val="both"/>
        <w:rPr>
          <w:rFonts w:ascii="Times New Roman" w:hAnsi="Times New Roman" w:cs="Times New Roman"/>
          <w:lang w:val="es-US"/>
        </w:rPr>
      </w:pPr>
    </w:p>
    <w:p w14:paraId="0700ED06" w14:textId="77777777" w:rsidR="00591CB4" w:rsidRDefault="00591CB4" w:rsidP="00A0775D">
      <w:pPr>
        <w:jc w:val="both"/>
        <w:rPr>
          <w:rFonts w:ascii="Times New Roman" w:hAnsi="Times New Roman" w:cs="Times New Roman"/>
          <w:lang w:val="es-US"/>
        </w:rPr>
      </w:pPr>
    </w:p>
    <w:p w14:paraId="75F2A387" w14:textId="77777777" w:rsidR="00591CB4" w:rsidRDefault="00591CB4" w:rsidP="00A0775D">
      <w:pPr>
        <w:jc w:val="both"/>
        <w:rPr>
          <w:rFonts w:ascii="Times New Roman" w:hAnsi="Times New Roman" w:cs="Times New Roman"/>
          <w:lang w:val="es-US"/>
        </w:rPr>
      </w:pPr>
    </w:p>
    <w:p w14:paraId="0DEC0BAF" w14:textId="77777777" w:rsidR="00591CB4" w:rsidRDefault="00591CB4" w:rsidP="00A0775D">
      <w:pPr>
        <w:jc w:val="both"/>
        <w:rPr>
          <w:rFonts w:ascii="Times New Roman" w:hAnsi="Times New Roman" w:cs="Times New Roman"/>
          <w:lang w:val="es-US"/>
        </w:rPr>
      </w:pPr>
    </w:p>
    <w:p w14:paraId="29752222" w14:textId="77777777" w:rsidR="00591CB4" w:rsidRDefault="00591CB4" w:rsidP="00A0775D">
      <w:pPr>
        <w:jc w:val="both"/>
        <w:rPr>
          <w:rFonts w:ascii="Times New Roman" w:hAnsi="Times New Roman" w:cs="Times New Roman"/>
          <w:lang w:val="es-US"/>
        </w:rPr>
      </w:pPr>
    </w:p>
    <w:p w14:paraId="7EBC4F4C" w14:textId="77777777" w:rsidR="00591CB4" w:rsidRDefault="00591CB4" w:rsidP="00A0775D">
      <w:pPr>
        <w:jc w:val="both"/>
        <w:rPr>
          <w:rFonts w:ascii="Times New Roman" w:hAnsi="Times New Roman" w:cs="Times New Roman"/>
          <w:lang w:val="es-US"/>
        </w:rPr>
      </w:pPr>
    </w:p>
    <w:p w14:paraId="6D7DB2F2" w14:textId="569746B4" w:rsidR="00D21D9C" w:rsidRDefault="00D21D9C" w:rsidP="00D21D9C">
      <w:pPr>
        <w:pStyle w:val="Ttulo1"/>
        <w:rPr>
          <w:lang w:val="es-US"/>
        </w:rPr>
      </w:pPr>
      <w:r>
        <w:rPr>
          <w:lang w:val="es-US"/>
        </w:rPr>
        <w:t>Proceso de limpieza</w:t>
      </w:r>
    </w:p>
    <w:p w14:paraId="5D523045" w14:textId="2708658B" w:rsidR="00D21D9C" w:rsidRDefault="00A50D47" w:rsidP="00E22F17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lang w:val="es-US"/>
        </w:rPr>
      </w:pPr>
      <w:r>
        <w:rPr>
          <w:rFonts w:ascii="Times New Roman" w:hAnsi="Times New Roman" w:cs="Times New Roman"/>
          <w:lang w:val="es-US"/>
        </w:rPr>
        <w:t>Se separaron únicamente las 106 columnas útiles</w:t>
      </w:r>
      <w:r w:rsidR="00E65397">
        <w:rPr>
          <w:rFonts w:ascii="Times New Roman" w:hAnsi="Times New Roman" w:cs="Times New Roman"/>
          <w:lang w:val="es-US"/>
        </w:rPr>
        <w:t>, más el índice,</w:t>
      </w:r>
      <w:r>
        <w:rPr>
          <w:rFonts w:ascii="Times New Roman" w:hAnsi="Times New Roman" w:cs="Times New Roman"/>
          <w:lang w:val="es-US"/>
        </w:rPr>
        <w:t xml:space="preserve"> en el conjunto train.</w:t>
      </w:r>
    </w:p>
    <w:p w14:paraId="55EA991F" w14:textId="4E3EBE08" w:rsidR="00A50D47" w:rsidRDefault="00E22F17" w:rsidP="00E22F17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lang w:val="es-US"/>
        </w:rPr>
      </w:pPr>
      <w:r>
        <w:rPr>
          <w:rFonts w:ascii="Times New Roman" w:hAnsi="Times New Roman" w:cs="Times New Roman"/>
          <w:lang w:val="es-US"/>
        </w:rPr>
        <w:t>Se aplicó la escala log al conjunto train.</w:t>
      </w:r>
    </w:p>
    <w:p w14:paraId="08FF5647" w14:textId="63273234" w:rsidR="00E22F17" w:rsidRDefault="00E22F17" w:rsidP="00E22F17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lang w:val="es-US"/>
        </w:rPr>
      </w:pPr>
      <w:r>
        <w:rPr>
          <w:rFonts w:ascii="Times New Roman" w:hAnsi="Times New Roman" w:cs="Times New Roman"/>
          <w:lang w:val="es-US"/>
        </w:rPr>
        <w:t xml:space="preserve">Se realizó el cálculo en las posiciones de train_labels con valores nulos, a partir de las posiciones correspondientes no nulas del conjunto train. En este paso </w:t>
      </w:r>
      <w:r w:rsidR="00452DD6">
        <w:rPr>
          <w:rFonts w:ascii="Times New Roman" w:hAnsi="Times New Roman" w:cs="Times New Roman"/>
          <w:lang w:val="es-US"/>
        </w:rPr>
        <w:t>se reemplazaron 66,977 valores nulos.</w:t>
      </w:r>
    </w:p>
    <w:p w14:paraId="1BCF8187" w14:textId="0BFF5DEF" w:rsidR="00E22F17" w:rsidRDefault="00E22F17" w:rsidP="00E22F17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lang w:val="es-US"/>
        </w:rPr>
      </w:pPr>
      <w:r>
        <w:rPr>
          <w:rFonts w:ascii="Times New Roman" w:hAnsi="Times New Roman" w:cs="Times New Roman"/>
          <w:lang w:val="es-US"/>
        </w:rPr>
        <w:lastRenderedPageBreak/>
        <w:t>Se reemplazaron los valores nulos que se encontraban en las primeras filas y últimas filas del conjunto train con el valor más próximo no nulo. En este paso se reemplazaron 36 valores nulos.</w:t>
      </w:r>
    </w:p>
    <w:p w14:paraId="57A8A413" w14:textId="7070289A" w:rsidR="00452DD6" w:rsidRPr="00452DD6" w:rsidRDefault="00452DD6" w:rsidP="00452DD6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lang w:val="es-US"/>
        </w:rPr>
      </w:pPr>
      <w:r>
        <w:rPr>
          <w:rFonts w:ascii="Times New Roman" w:hAnsi="Times New Roman" w:cs="Times New Roman"/>
          <w:lang w:val="es-US"/>
        </w:rPr>
        <w:t>Se reemplazaron los valores nulos que se encontraban en las primeras filas y últimas filas del conjunto train_labels con el valor más próximo no nulo. En este paso se reemplazaron 319 valores nulos.</w:t>
      </w:r>
    </w:p>
    <w:p w14:paraId="15004441" w14:textId="6BCF3C32" w:rsidR="00E22F17" w:rsidRDefault="00E22F17" w:rsidP="00E22F17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lang w:val="es-US"/>
        </w:rPr>
      </w:pPr>
      <w:r>
        <w:rPr>
          <w:rFonts w:ascii="Times New Roman" w:hAnsi="Times New Roman" w:cs="Times New Roman"/>
          <w:lang w:val="es-US"/>
        </w:rPr>
        <w:t xml:space="preserve">Se </w:t>
      </w:r>
      <w:r w:rsidR="00452DD6">
        <w:rPr>
          <w:rFonts w:ascii="Times New Roman" w:hAnsi="Times New Roman" w:cs="Times New Roman"/>
          <w:lang w:val="es-US"/>
        </w:rPr>
        <w:t>reemplazaron valores nulos del conjunto train mediante la interpolación, usando de extremos los valores no nulos que encerraban a los valores nulos. En este paso se reemplazaron</w:t>
      </w:r>
      <w:r>
        <w:rPr>
          <w:rFonts w:ascii="Times New Roman" w:hAnsi="Times New Roman" w:cs="Times New Roman"/>
          <w:lang w:val="es-US"/>
        </w:rPr>
        <w:t xml:space="preserve"> </w:t>
      </w:r>
      <w:r w:rsidR="00452DD6">
        <w:rPr>
          <w:rFonts w:ascii="Times New Roman" w:hAnsi="Times New Roman" w:cs="Times New Roman"/>
          <w:lang w:val="es-US"/>
        </w:rPr>
        <w:t>4,919 valores nulos</w:t>
      </w:r>
      <w:r w:rsidR="00C36CDE">
        <w:rPr>
          <w:rFonts w:ascii="Times New Roman" w:hAnsi="Times New Roman" w:cs="Times New Roman"/>
          <w:lang w:val="es-US"/>
        </w:rPr>
        <w:t xml:space="preserve"> y el conjunto quedó sin valores nulos.</w:t>
      </w:r>
    </w:p>
    <w:p w14:paraId="51D42F47" w14:textId="2E19FC89" w:rsidR="007F10A2" w:rsidRPr="00E65397" w:rsidRDefault="00C36CDE" w:rsidP="00E65397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lang w:val="es-US"/>
        </w:rPr>
      </w:pPr>
      <w:r>
        <w:rPr>
          <w:rFonts w:ascii="Times New Roman" w:hAnsi="Times New Roman" w:cs="Times New Roman"/>
          <w:lang w:val="es-US"/>
        </w:rPr>
        <w:t>Se realizó el cálculo en las posiciones de train_labels con valores nulos, a partir de las posiciones correspondientes no nulas del conjunto train. En este paso se reemplazaron 20,107 valores nulos y el conjunto quedó sin valores nulos.</w:t>
      </w:r>
    </w:p>
    <w:p w14:paraId="34CBDAE4" w14:textId="38FDDC57" w:rsidR="00D21D9C" w:rsidRDefault="00D21D9C" w:rsidP="00D21D9C">
      <w:pPr>
        <w:pStyle w:val="Ttulo1"/>
        <w:rPr>
          <w:lang w:val="es-US"/>
        </w:rPr>
      </w:pPr>
      <w:r>
        <w:rPr>
          <w:lang w:val="es-US"/>
        </w:rPr>
        <w:t>Conclusiones y recomendaciones</w:t>
      </w:r>
    </w:p>
    <w:p w14:paraId="6C0DECA0" w14:textId="678845EC" w:rsidR="005074D6" w:rsidRDefault="005074D6" w:rsidP="005F5BD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conjunto train_labels es el resultado de una transformación logarítmica en el conjunto train y operaciones definidas por el conjunto target_pairs. Aunque hay algunos datos, que no pueden ser obtenidos, los cuales son los que pertenecen a las últimas filas, debido a que, al realizar operaciones con datos futuros, se requerirían de más filas en el conjunto train para generar todas las filas de train_labels.</w:t>
      </w:r>
    </w:p>
    <w:p w14:paraId="2A0C39BC" w14:textId="77777777" w:rsidR="00E65397" w:rsidRDefault="005074D6" w:rsidP="005F5BD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 las 557</w:t>
      </w:r>
      <w:r w:rsidR="00E65397">
        <w:rPr>
          <w:rFonts w:ascii="Times New Roman" w:hAnsi="Times New Roman" w:cs="Times New Roman"/>
        </w:rPr>
        <w:t xml:space="preserve"> (sin contar el índice) variables</w:t>
      </w:r>
      <w:r>
        <w:rPr>
          <w:rFonts w:ascii="Times New Roman" w:hAnsi="Times New Roman" w:cs="Times New Roman"/>
        </w:rPr>
        <w:t xml:space="preserve"> del conjunto train, solo son útiles 106. Estas fueron definidas mediante la aparición en el conjunto target_pairs, el cual indica cómo generar el conjunto train_labels.</w:t>
      </w:r>
      <w:r w:rsidR="00E65397">
        <w:rPr>
          <w:rFonts w:ascii="Times New Roman" w:hAnsi="Times New Roman" w:cs="Times New Roman"/>
        </w:rPr>
        <w:t xml:space="preserve"> </w:t>
      </w:r>
    </w:p>
    <w:p w14:paraId="22C4BC11" w14:textId="607B5B55" w:rsidR="005074D6" w:rsidRDefault="00E65397" w:rsidP="005F5BD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Los conjuntos train y train_labels solo cuentan con variables flotantes y un índice de tipo entero, mientras que target_pairs contiene variables tipo object y una tipo entero, las cuales dan la información de cómo generar train_labels.</w:t>
      </w:r>
    </w:p>
    <w:p w14:paraId="1757035C" w14:textId="151DC504" w:rsidR="00521F19" w:rsidRDefault="00A0775D" w:rsidP="005F5BD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 mayoría de las columnas útiles</w:t>
      </w:r>
      <w:r w:rsidR="00D31FE3">
        <w:rPr>
          <w:rFonts w:ascii="Times New Roman" w:hAnsi="Times New Roman" w:cs="Times New Roman"/>
        </w:rPr>
        <w:t xml:space="preserve"> tenían valores faltantes, pero estos no representaban más del 10% de los valores de cada columna.</w:t>
      </w:r>
    </w:p>
    <w:p w14:paraId="2A0F166C" w14:textId="2BD89F0D" w:rsidR="00D31FE3" w:rsidRDefault="00D31FE3" w:rsidP="005F5BD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Los modelos investigados que se usarán para predecir las series de tiempo serán: GARCH, SARIMA y SARFIMA. En el caso de los modelos SARIMA y SARFIMA no cumplieron con el supuesto de varianza estacionaria, pero se considerarán útiles si logran la mejor capacidad predictiva</w:t>
      </w:r>
      <w:r w:rsidR="00591CB4">
        <w:rPr>
          <w:rFonts w:ascii="Times New Roman" w:hAnsi="Times New Roman" w:cs="Times New Roman"/>
        </w:rPr>
        <w:t xml:space="preserve"> (véase cuadro 6)</w:t>
      </w:r>
      <w:r>
        <w:rPr>
          <w:rFonts w:ascii="Times New Roman" w:hAnsi="Times New Roman" w:cs="Times New Roman"/>
        </w:rPr>
        <w:t>.</w:t>
      </w:r>
    </w:p>
    <w:p w14:paraId="4E8781AB" w14:textId="7DF49713" w:rsidR="00D21D9C" w:rsidRDefault="00D31FE3" w:rsidP="00F85F9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Las columnas útiles del conjunto train cumple en su gran mayoría</w:t>
      </w:r>
      <w:r w:rsidR="00F85F97">
        <w:rPr>
          <w:rFonts w:ascii="Times New Roman" w:hAnsi="Times New Roman" w:cs="Times New Roman"/>
        </w:rPr>
        <w:t xml:space="preserve"> con buenos estadísticos para hacer modelos de volatilidad y la mayoría de los supuestos para los modelos SARIMA y SARFIMA</w:t>
      </w:r>
      <w:r w:rsidR="00591CB4">
        <w:rPr>
          <w:rFonts w:ascii="Times New Roman" w:hAnsi="Times New Roman" w:cs="Times New Roman"/>
        </w:rPr>
        <w:t xml:space="preserve"> (véase cuadro 5 y 6)</w:t>
      </w:r>
      <w:r w:rsidR="00F85F97">
        <w:rPr>
          <w:rFonts w:ascii="Times New Roman" w:hAnsi="Times New Roman" w:cs="Times New Roman"/>
        </w:rPr>
        <w:t>.</w:t>
      </w:r>
    </w:p>
    <w:p w14:paraId="0D9B9021" w14:textId="54589AAB" w:rsidR="00E65397" w:rsidRPr="00E65397" w:rsidRDefault="00E65397" w:rsidP="00F85F97">
      <w:pPr>
        <w:jc w:val="both"/>
        <w:rPr>
          <w:rFonts w:ascii="Times New Roman" w:hAnsi="Times New Roman" w:cs="Times New Roman"/>
          <w:lang w:val="es-US"/>
        </w:rPr>
      </w:pPr>
      <w:r>
        <w:rPr>
          <w:rFonts w:ascii="Times New Roman" w:hAnsi="Times New Roman" w:cs="Times New Roman"/>
          <w:lang w:val="es-US"/>
        </w:rPr>
        <w:t>Como se observa en la figura 1</w:t>
      </w:r>
      <w:r>
        <w:rPr>
          <w:rFonts w:ascii="Times New Roman" w:hAnsi="Times New Roman" w:cs="Times New Roman"/>
          <w:lang w:val="es-US"/>
        </w:rPr>
        <w:t xml:space="preserve"> y 2</w:t>
      </w:r>
      <w:r>
        <w:rPr>
          <w:rFonts w:ascii="Times New Roman" w:hAnsi="Times New Roman" w:cs="Times New Roman"/>
          <w:lang w:val="es-US"/>
        </w:rPr>
        <w:t>, el aplicar la escala logarítmica</w:t>
      </w:r>
      <w:r>
        <w:rPr>
          <w:rFonts w:ascii="Times New Roman" w:hAnsi="Times New Roman" w:cs="Times New Roman"/>
          <w:lang w:val="es-US"/>
        </w:rPr>
        <w:t xml:space="preserve"> facilita el manejo de la variación de los datos, dejando a todas las series en escalas muy similares. Además, como </w:t>
      </w:r>
      <w:r>
        <w:rPr>
          <w:rFonts w:ascii="Times New Roman" w:hAnsi="Times New Roman" w:cs="Times New Roman"/>
          <w:lang w:val="es-US"/>
        </w:rPr>
        <w:lastRenderedPageBreak/>
        <w:t>esto se ve reflejado en la figura 3, donde el conjunto a predecir muestra un rango muy pequeño, variación muy controlada y medias cercanas a 0.</w:t>
      </w:r>
    </w:p>
    <w:p w14:paraId="3493C035" w14:textId="4D99989B" w:rsidR="00D21D9C" w:rsidRDefault="00F85F97" w:rsidP="00F85F97">
      <w:pPr>
        <w:jc w:val="both"/>
        <w:rPr>
          <w:rFonts w:ascii="Times New Roman" w:hAnsi="Times New Roman" w:cs="Times New Roman"/>
          <w:lang w:val="es-US"/>
        </w:rPr>
      </w:pPr>
      <w:r>
        <w:rPr>
          <w:rFonts w:ascii="Times New Roman" w:hAnsi="Times New Roman" w:cs="Times New Roman"/>
          <w:lang w:val="es-US"/>
        </w:rPr>
        <w:t>Se realizaron procesos de limpieza consistentes en cálculos, reemplazo por valor no nulo más próximo e interpolación en los conjuntos de train y train_labels. Realizando estas operaciones se lograron reemplazar todos los valores no nulos y se almacenaron los datos limpios en dos nuevos archivos csv llamados entrenamiento y entrenamiento_etiquetas.</w:t>
      </w:r>
    </w:p>
    <w:p w14:paraId="4FD48BF0" w14:textId="2ED5247F" w:rsidR="005F5BDC" w:rsidRDefault="005F5BDC" w:rsidP="005F5BDC">
      <w:pPr>
        <w:pStyle w:val="Ttulo1"/>
        <w:rPr>
          <w:lang w:val="es-US"/>
        </w:rPr>
      </w:pPr>
      <w:r>
        <w:rPr>
          <w:lang w:val="es-US"/>
        </w:rPr>
        <w:t>Referencias</w:t>
      </w:r>
    </w:p>
    <w:p w14:paraId="41E5F8E6" w14:textId="77777777" w:rsidR="005F5BDC" w:rsidRDefault="005F5BDC" w:rsidP="005F5BDC">
      <w:pPr>
        <w:jc w:val="both"/>
        <w:rPr>
          <w:rFonts w:ascii="Times New Roman" w:hAnsi="Times New Roman" w:cs="Times New Roman"/>
        </w:rPr>
      </w:pPr>
      <w:r w:rsidRPr="005F5BDC">
        <w:rPr>
          <w:rFonts w:ascii="Times New Roman" w:hAnsi="Times New Roman" w:cs="Times New Roman"/>
        </w:rPr>
        <w:t>De Jesús-Gutiérrez, R. (2023). El uso de la volatilidad implícita en el modelado de la varianza condicional puede mejorar la predicción de la volatilidad y la estimación del VaR y CVaR. Economía: Teoría y Práctica, 58, 173–198.</w:t>
      </w:r>
    </w:p>
    <w:p w14:paraId="1FDA4083" w14:textId="6D775077" w:rsidR="006773F6" w:rsidRPr="006773F6" w:rsidRDefault="006773F6" w:rsidP="005F5BDC">
      <w:pPr>
        <w:jc w:val="both"/>
        <w:rPr>
          <w:rFonts w:ascii="Times New Roman" w:hAnsi="Times New Roman" w:cs="Times New Roman"/>
          <w:lang w:val="en-US"/>
        </w:rPr>
      </w:pPr>
      <w:r w:rsidRPr="006773F6">
        <w:rPr>
          <w:rFonts w:ascii="Times New Roman" w:hAnsi="Times New Roman" w:cs="Times New Roman"/>
        </w:rPr>
        <w:t xml:space="preserve">Devianto, D., Wahyuni, E., Maiyastri, M., &amp; Yollanda, M. (2024). </w:t>
      </w:r>
      <w:r w:rsidRPr="006773F6">
        <w:rPr>
          <w:rFonts w:ascii="Times New Roman" w:hAnsi="Times New Roman" w:cs="Times New Roman"/>
          <w:lang w:val="en-US"/>
        </w:rPr>
        <w:t>The seasonal model of chili price movement with the effect of long memory and exogenous variables for improving time series model accuracy. Frontiers in Applied Mathematics and Statistics, 10, 1408381.</w:t>
      </w:r>
    </w:p>
    <w:p w14:paraId="30594617" w14:textId="19655709" w:rsidR="00FC3B57" w:rsidRDefault="00FC3B57" w:rsidP="005F5BDC">
      <w:pPr>
        <w:jc w:val="both"/>
        <w:rPr>
          <w:rFonts w:ascii="Times New Roman" w:hAnsi="Times New Roman" w:cs="Times New Roman"/>
        </w:rPr>
      </w:pPr>
      <w:r w:rsidRPr="00E22F17">
        <w:rPr>
          <w:rFonts w:ascii="Times New Roman" w:hAnsi="Times New Roman" w:cs="Times New Roman"/>
          <w:lang w:val="en-US"/>
        </w:rPr>
        <w:t xml:space="preserve">Li, X., Li, B., Wei, G., Bai, L. y Wei, Y. (2021). </w:t>
      </w:r>
      <w:r w:rsidRPr="00FC3B57">
        <w:rPr>
          <w:rFonts w:ascii="Times New Roman" w:hAnsi="Times New Roman" w:cs="Times New Roman"/>
          <w:lang w:val="en-US"/>
        </w:rPr>
        <w:t xml:space="preserve">Return connectedness among commodity and financial assets during the COVID-19 pandemic: Evidence from China and the US. </w:t>
      </w:r>
      <w:r w:rsidRPr="00FC3B57">
        <w:rPr>
          <w:rFonts w:ascii="Times New Roman" w:hAnsi="Times New Roman" w:cs="Times New Roman"/>
        </w:rPr>
        <w:t>Resources Policy, 73, 102166.</w:t>
      </w:r>
    </w:p>
    <w:p w14:paraId="3328CFA3" w14:textId="7FF13BCA" w:rsidR="008313F6" w:rsidRPr="005F5BDC" w:rsidRDefault="008313F6" w:rsidP="005F5BDC">
      <w:pPr>
        <w:jc w:val="both"/>
        <w:rPr>
          <w:rFonts w:ascii="Times New Roman" w:hAnsi="Times New Roman" w:cs="Times New Roman"/>
        </w:rPr>
      </w:pPr>
      <w:r w:rsidRPr="008313F6">
        <w:rPr>
          <w:rFonts w:ascii="Times New Roman" w:hAnsi="Times New Roman" w:cs="Times New Roman"/>
        </w:rPr>
        <w:t>López, F., Ortiz, E.</w:t>
      </w:r>
      <w:r>
        <w:rPr>
          <w:rFonts w:ascii="Times New Roman" w:hAnsi="Times New Roman" w:cs="Times New Roman"/>
        </w:rPr>
        <w:t xml:space="preserve"> y</w:t>
      </w:r>
      <w:r w:rsidRPr="008313F6">
        <w:rPr>
          <w:rFonts w:ascii="Times New Roman" w:hAnsi="Times New Roman" w:cs="Times New Roman"/>
        </w:rPr>
        <w:t xml:space="preserve"> Cabello, A. (2009). Las interrelaciones de volatilidad y rendimientos entre los mercados de valores del TLCAN. Investigación Económica, 68(267), 83–114.</w:t>
      </w:r>
    </w:p>
    <w:p w14:paraId="2E8A6473" w14:textId="77777777" w:rsidR="005F5BDC" w:rsidRDefault="005F5BDC" w:rsidP="005F5BDC">
      <w:pPr>
        <w:jc w:val="both"/>
        <w:rPr>
          <w:rFonts w:ascii="Times New Roman" w:hAnsi="Times New Roman" w:cs="Times New Roman"/>
          <w:lang w:val="es-US"/>
        </w:rPr>
      </w:pPr>
      <w:r w:rsidRPr="005F5BDC">
        <w:rPr>
          <w:rFonts w:ascii="Times New Roman" w:hAnsi="Times New Roman" w:cs="Times New Roman"/>
        </w:rPr>
        <w:t xml:space="preserve">Mohommad, A., Raissi, M., Lee, K., &amp; Fizzarotti, C. (2023). </w:t>
      </w:r>
      <w:r w:rsidRPr="005F5BDC">
        <w:rPr>
          <w:rFonts w:ascii="Times New Roman" w:hAnsi="Times New Roman" w:cs="Times New Roman"/>
          <w:lang w:val="es-US"/>
        </w:rPr>
        <w:t>La volatilidad de precios de las materias primas reduce el crecimiento y aumenta las fluctuaciones de la inflación. Fondo Monetario Internacional.</w:t>
      </w:r>
    </w:p>
    <w:sectPr w:rsidR="005F5BD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B7BEA"/>
    <w:multiLevelType w:val="hybridMultilevel"/>
    <w:tmpl w:val="217E3A2C"/>
    <w:lvl w:ilvl="0" w:tplc="D3D65B5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0E7153"/>
    <w:multiLevelType w:val="hybridMultilevel"/>
    <w:tmpl w:val="A9DCFFB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FD46A4"/>
    <w:multiLevelType w:val="hybridMultilevel"/>
    <w:tmpl w:val="9C0E4DD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6686634">
    <w:abstractNumId w:val="0"/>
  </w:num>
  <w:num w:numId="2" w16cid:durableId="1724015184">
    <w:abstractNumId w:val="2"/>
  </w:num>
  <w:num w:numId="3" w16cid:durableId="17350064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D9C"/>
    <w:rsid w:val="00051B51"/>
    <w:rsid w:val="00061B7B"/>
    <w:rsid w:val="000679B9"/>
    <w:rsid w:val="000B7843"/>
    <w:rsid w:val="000C2DE8"/>
    <w:rsid w:val="000F2F2B"/>
    <w:rsid w:val="00195F5D"/>
    <w:rsid w:val="001C490B"/>
    <w:rsid w:val="001F466B"/>
    <w:rsid w:val="002177A4"/>
    <w:rsid w:val="002645B6"/>
    <w:rsid w:val="00273092"/>
    <w:rsid w:val="002E05DE"/>
    <w:rsid w:val="00357911"/>
    <w:rsid w:val="003611AB"/>
    <w:rsid w:val="0036296D"/>
    <w:rsid w:val="003840CE"/>
    <w:rsid w:val="003C56A2"/>
    <w:rsid w:val="00452DD6"/>
    <w:rsid w:val="0046481C"/>
    <w:rsid w:val="004A6F28"/>
    <w:rsid w:val="004E2661"/>
    <w:rsid w:val="005074D6"/>
    <w:rsid w:val="00521F19"/>
    <w:rsid w:val="00591CB4"/>
    <w:rsid w:val="005F5BDC"/>
    <w:rsid w:val="00663688"/>
    <w:rsid w:val="006773F6"/>
    <w:rsid w:val="007C08EA"/>
    <w:rsid w:val="007F10A2"/>
    <w:rsid w:val="007F752F"/>
    <w:rsid w:val="008313F6"/>
    <w:rsid w:val="00864C77"/>
    <w:rsid w:val="00864C8C"/>
    <w:rsid w:val="008972D4"/>
    <w:rsid w:val="008A4FEE"/>
    <w:rsid w:val="008F2C29"/>
    <w:rsid w:val="00955EEB"/>
    <w:rsid w:val="009729A3"/>
    <w:rsid w:val="009F68C3"/>
    <w:rsid w:val="00A0179B"/>
    <w:rsid w:val="00A0775D"/>
    <w:rsid w:val="00A468E4"/>
    <w:rsid w:val="00A50D47"/>
    <w:rsid w:val="00AF7B50"/>
    <w:rsid w:val="00B37ECD"/>
    <w:rsid w:val="00C36CDE"/>
    <w:rsid w:val="00CE4B8D"/>
    <w:rsid w:val="00D14A28"/>
    <w:rsid w:val="00D21D9C"/>
    <w:rsid w:val="00D31192"/>
    <w:rsid w:val="00D31FE3"/>
    <w:rsid w:val="00E22F17"/>
    <w:rsid w:val="00E65397"/>
    <w:rsid w:val="00E77790"/>
    <w:rsid w:val="00E9500C"/>
    <w:rsid w:val="00EB0BEF"/>
    <w:rsid w:val="00ED5F7C"/>
    <w:rsid w:val="00F7349F"/>
    <w:rsid w:val="00F85F97"/>
    <w:rsid w:val="00FC3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3A322E5"/>
  <w15:chartTrackingRefBased/>
  <w15:docId w15:val="{999811B3-F925-4565-BFAF-D24C16CCE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21D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21D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1D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21D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21D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21D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21D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21D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21D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21D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21D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21D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21D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21D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21D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21D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21D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21D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21D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21D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21D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21D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21D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21D9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21D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21D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21D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21D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21D9C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D21D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GT"/>
      <w14:ligatures w14:val="none"/>
    </w:rPr>
  </w:style>
  <w:style w:type="character" w:customStyle="1" w:styleId="normaltextrun">
    <w:name w:val="normaltextrun"/>
    <w:basedOn w:val="Fuentedeprrafopredeter"/>
    <w:rsid w:val="00D21D9C"/>
  </w:style>
  <w:style w:type="table" w:styleId="Tablaconcuadrcula">
    <w:name w:val="Table Grid"/>
    <w:basedOn w:val="Tablanormal"/>
    <w:uiPriority w:val="39"/>
    <w:rsid w:val="000F2F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830</TotalTime>
  <Pages>7</Pages>
  <Words>1728</Words>
  <Characters>9510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RODRIGUEZ RODRIGUEZ, JOSE RICARDO</dc:creator>
  <cp:keywords/>
  <dc:description/>
  <cp:lastModifiedBy>RODRIGUEZ RODRIGUEZ, JOSE RICARDO</cp:lastModifiedBy>
  <cp:revision>24</cp:revision>
  <dcterms:created xsi:type="dcterms:W3CDTF">2026-09-03T17:39:00Z</dcterms:created>
  <dcterms:modified xsi:type="dcterms:W3CDTF">2026-09-07T17:18:00Z</dcterms:modified>
</cp:coreProperties>
</file>