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61DC69C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(Margules and Pressey 2000)</w:t>
      </w:r>
      <w:r w:rsidR="00BE2B2D">
        <w:rPr>
          <w:rFonts w:eastAsia="Times New Roman" w:cs="Times New Roman"/>
          <w:szCs w:val="24"/>
        </w:rPr>
        <w:fldChar w:fldCharType="end"/>
      </w:r>
      <w:r w:rsidR="00697517" w:rsidRPr="00697517">
        <w:rPr>
          <w:rFonts w:eastAsia="Times New Roman" w:cs="Times New Roman"/>
          <w:szCs w:val="24"/>
        </w:rPr>
        <w:t xml:space="preserve">. Historically, conservation decision-making has often evaluated parcels opportunistically as they became available for purchase, donation, or under threat. Although purchasing such areas may improve the status quo, such decisions may not substantially enhance the long-term persistence of target species or communities. Faced with this realization, conservation planners began using decision support tools to help simulate alternative reserve designs over a range of different biodiversity and management goals and, ultimately, guide protected area acquisitions and management actions. Due to the systematic, evidence-based nature of these tools, conservation prioritization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0"/>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Second,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heuristics (e.g. ranking procedures, genetic algorithms, and mixtures of these approaches) that could also be used. Here, we focus</w:t>
      </w:r>
      <w:r w:rsidR="00DF6B45">
        <w:rPr>
          <w:rFonts w:eastAsia="Times New Roman" w:cs="Times New Roman"/>
          <w:szCs w:val="24"/>
        </w:rPr>
        <w:t xml:space="preserve"> </w:t>
      </w:r>
      <w:r w:rsidRPr="00295223">
        <w:rPr>
          <w:rFonts w:eastAsia="Times New Roman" w:cs="Times New Roman"/>
          <w:szCs w:val="24"/>
        </w:rPr>
        <w:t xml:space="preserve">on SA because it is the most widely used heuristic in the </w:t>
      </w:r>
      <w:r w:rsidRPr="00295223">
        <w:rPr>
          <w:rFonts w:eastAsia="Times New Roman" w:cs="Times New Roman"/>
          <w:szCs w:val="24"/>
        </w:rPr>
        <w:lastRenderedPageBreak/>
        <w:t>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0"/>
      <w:r w:rsidR="00580682">
        <w:rPr>
          <w:rStyle w:val="CommentReference"/>
        </w:rPr>
        <w:commentReference w:id="0"/>
      </w:r>
    </w:p>
    <w:p w14:paraId="1FC5B5AD" w14:textId="10B9122F"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build marine and terrestrial conservation systems and is the global leader in conservation land and sea use planning software.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the heuristic approach of </w:t>
      </w:r>
      <w:proofErr w:type="spellStart"/>
      <w:r w:rsidR="008D4FF0" w:rsidRPr="00D2043C">
        <w:rPr>
          <w:rFonts w:eastAsia="Times New Roman" w:cs="Times New Roman"/>
          <w:szCs w:val="24"/>
        </w:rPr>
        <w:t>similated</w:t>
      </w:r>
      <w:proofErr w:type="spellEnd"/>
      <w:r w:rsidR="008D4FF0" w:rsidRPr="00D2043C">
        <w:rPr>
          <w:rFonts w:eastAsia="Times New Roman" w:cs="Times New Roman"/>
          <w:szCs w:val="24"/>
        </w:rPr>
        <w:t xml:space="preserve"> annealing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3EF22D1F"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w:t>
      </w:r>
      <w:r>
        <w:rPr>
          <w:rFonts w:cs="Times New Roman"/>
          <w:lang w:val="en-CA"/>
        </w:rPr>
        <w:lastRenderedPageBreak/>
        <w:t>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(Meidinger and Pojar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3BFB2C24" w:rsidR="008E7B78" w:rsidRDefault="008E7B78" w:rsidP="008E7B78">
      <w:pPr>
        <w:spacing w:line="480" w:lineRule="auto"/>
        <w:rPr>
          <w:rFonts w:cs="Times New Roman"/>
          <w:lang w:val="en-CA"/>
        </w:rPr>
      </w:pPr>
      <w:r>
        <w:rPr>
          <w:rFonts w:cs="Times New Roman"/>
          <w:i/>
        </w:rPr>
        <w:t xml:space="preserve">Biodiversity data.  </w:t>
      </w:r>
      <w:r>
        <w:rPr>
          <w:rFonts w:cs="Times New Roman"/>
        </w:rPr>
        <w:t xml:space="preserve">Our prioritizations were run with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rPr>
        <w:t xml:space="preserve"> </w:t>
      </w:r>
      <w:r>
        <w:rPr>
          <w:rFonts w:cs="Times New Roman"/>
          <w:spacing w:val="-1"/>
        </w:rPr>
        <w:t xml:space="preserve">data, which is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(Hochachka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5470 checklists from 2160 locations, visited from 1-10 times and 2.53 times on average. 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(Supplementary Table 1).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(Ando et al. 1998, Polasky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w:t>
      </w:r>
      <w:r>
        <w:rPr>
          <w:rFonts w:cs="Times New Roman"/>
          <w:lang w:val="en-CA"/>
        </w:rPr>
        <w:lastRenderedPageBreak/>
        <w:t xml:space="preserve">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(Margules and Pressey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w:t>
      </w:r>
      <w:r w:rsidRPr="00D2043C">
        <w:rPr>
          <w:rStyle w:val="apple-converted-space"/>
          <w:shd w:val="clear" w:color="auto" w:fill="FFFFFF"/>
          <w:lang w:val="en-CA"/>
        </w:rPr>
        <w:lastRenderedPageBreak/>
        <w:t xml:space="preserve">an objective to find the solution that fulfills all the targets and constraints for the smallest area,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p>
    <w:p w14:paraId="573ADB7D" w14:textId="08C1BA6B" w:rsidR="009872A3" w:rsidRPr="00217190" w:rsidRDefault="00217190" w:rsidP="003E1527">
      <w:pPr>
        <w:pStyle w:val="xmsonormal"/>
        <w:spacing w:before="0" w:beforeAutospacing="0" w:after="0" w:afterAutospacing="0" w:line="480" w:lineRule="auto"/>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scenarios we created the following range of scenarios: </w:t>
      </w:r>
      <w:proofErr w:type="spellStart"/>
      <w:r w:rsidR="00AF02BE">
        <w:rPr>
          <w:lang w:val="en-CA"/>
        </w:rPr>
        <w:t>i</w:t>
      </w:r>
      <w:proofErr w:type="spellEnd"/>
      <w:r w:rsidR="00AF02BE">
        <w:rPr>
          <w:lang w:val="en-CA"/>
        </w:rPr>
        <w:t xml:space="preserve">) vary conservation targets between 10 and 90 % in 10 % increments (9 variations), ii) 10 – 72 species/features (5 variations) and iii) 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number of iterations from 1E+04 to 1E+08 (5 iterations)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already took 8 hours to solve, we restricted the set of full scenario iterations to those mentioned above. </w:t>
      </w:r>
      <w:r w:rsidR="00777B0C">
        <w:rPr>
          <w:lang w:val="en-CA"/>
        </w:rPr>
        <w:t xml:space="preserve">We did however go ahead and create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777B0C">
        <w:rPr>
          <w:lang w:val="en-CA"/>
        </w:rPr>
        <w:t xml:space="preserve">to present as </w:t>
      </w:r>
      <w:r w:rsidR="00C96497">
        <w:rPr>
          <w:lang w:val="en-CA"/>
        </w:rPr>
        <w:t xml:space="preserve">one of the </w:t>
      </w:r>
      <w:r w:rsidR="00777B0C">
        <w:rPr>
          <w:lang w:val="en-CA"/>
        </w:rPr>
        <w:t xml:space="preserve">main results for comparison here, as the </w:t>
      </w:r>
      <w:r w:rsidR="006871B3">
        <w:rPr>
          <w:lang w:val="en-CA"/>
        </w:rPr>
        <w:t xml:space="preserve">next higher iterations of number of planning units (n = </w:t>
      </w:r>
      <w:r w:rsidR="006871B3" w:rsidRPr="006871B3">
        <w:rPr>
          <w:lang w:val="en-CA"/>
        </w:rPr>
        <w:t>594040</w:t>
      </w:r>
      <w:r w:rsidR="006871B3">
        <w:rPr>
          <w:lang w:val="en-CA"/>
        </w:rPr>
        <w:t xml:space="preserve">) does best highlight the limitations of </w:t>
      </w:r>
      <w:proofErr w:type="spellStart"/>
      <w:r w:rsidR="006871B3">
        <w:rPr>
          <w:lang w:val="en-CA"/>
        </w:rPr>
        <w:t>Marxan</w:t>
      </w:r>
      <w:proofErr w:type="spellEnd"/>
      <w:r w:rsidR="006871B3">
        <w:rPr>
          <w:lang w:val="en-CA"/>
        </w:rPr>
        <w:t xml:space="preserve">/simulated annealing compared to </w:t>
      </w:r>
      <w:proofErr w:type="spellStart"/>
      <w:r w:rsidR="006871B3">
        <w:rPr>
          <w:lang w:val="en-CA"/>
        </w:rPr>
        <w:t>prioritzr</w:t>
      </w:r>
      <w:proofErr w:type="spellEnd"/>
      <w:r w:rsidR="006871B3">
        <w:rPr>
          <w:lang w:val="en-CA"/>
        </w:rPr>
        <w:t>/integer linear programming</w:t>
      </w:r>
      <w:r w:rsidR="007C398D">
        <w:rPr>
          <w:lang w:val="en-CA"/>
        </w:rPr>
        <w:t>, when it comes to finding the optimal solution and being most cost effective</w:t>
      </w:r>
      <w:r w:rsidR="00413E69">
        <w:rPr>
          <w:lang w:val="en-CA"/>
        </w:rPr>
        <w:t xml:space="preserve"> in selecting planning units.</w:t>
      </w:r>
    </w:p>
    <w:p w14:paraId="61BD483C" w14:textId="77777777" w:rsidR="009872A3" w:rsidRPr="00D2043C" w:rsidRDefault="009872A3" w:rsidP="003E1527">
      <w:pPr>
        <w:pStyle w:val="xmsonormal"/>
        <w:spacing w:before="0" w:beforeAutospacing="0" w:after="0" w:afterAutospacing="0" w:line="480" w:lineRule="auto"/>
        <w:rPr>
          <w:b/>
          <w:lang w:val="en-CA"/>
        </w:rPr>
      </w:pPr>
    </w:p>
    <w:p w14:paraId="30D65B02" w14:textId="4D7A0CEB" w:rsidR="00186AA6" w:rsidRDefault="00186AA6" w:rsidP="00B66B4F">
      <w:pPr>
        <w:pStyle w:val="xmsonormal"/>
        <w:spacing w:before="0" w:beforeAutospacing="0" w:after="0" w:afterAutospacing="0" w:line="480" w:lineRule="auto"/>
        <w:rPr>
          <w:b/>
        </w:rPr>
      </w:pPr>
      <w:r w:rsidRPr="00D2043C">
        <w:rPr>
          <w:b/>
        </w:rPr>
        <w:t xml:space="preserve">Results </w:t>
      </w:r>
    </w:p>
    <w:p w14:paraId="5E4E60D8" w14:textId="78C9B7DF" w:rsidR="000D5D80" w:rsidRDefault="005D188A" w:rsidP="00B66B4F">
      <w:pPr>
        <w:pStyle w:val="xmsonormal"/>
        <w:spacing w:before="0" w:beforeAutospacing="0" w:after="0" w:afterAutospacing="0" w:line="480" w:lineRule="auto"/>
      </w:pPr>
      <w:r>
        <w:t xml:space="preserve">The best processing time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w:t>
      </w:r>
      <w:r w:rsidR="002500E9">
        <w:lastRenderedPageBreak/>
        <w:t xml:space="preserve">1).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113 times longer than </w:t>
      </w:r>
      <w:proofErr w:type="spellStart"/>
      <w:r w:rsidR="009134E7">
        <w:t>Gurobi</w:t>
      </w:r>
      <w:proofErr w:type="spellEnd"/>
      <w:r w:rsidR="009134E7">
        <w:t xml:space="preserve"> (mean = 18.4 times),</w:t>
      </w:r>
      <w:r w:rsidR="00AF0350">
        <w:t xml:space="preserve"> </w:t>
      </w:r>
      <w:proofErr w:type="spellStart"/>
      <w:r w:rsidR="00AF0350">
        <w:t>Marxan</w:t>
      </w:r>
      <w:proofErr w:type="spellEnd"/>
      <w:r w:rsidR="009134E7">
        <w:t xml:space="preserve"> took between 0 and 28710 times longer than </w:t>
      </w:r>
      <w:proofErr w:type="spellStart"/>
      <w:r w:rsidR="009134E7">
        <w:t>Gurobi</w:t>
      </w:r>
      <w:proofErr w:type="spellEnd"/>
      <w:r w:rsidR="009134E7">
        <w:t xml:space="preserve"> (mean = 1071 times). </w:t>
      </w:r>
    </w:p>
    <w:p w14:paraId="6D9FE0D1" w14:textId="336F67CB" w:rsidR="00BD1816" w:rsidRPr="000D5D80" w:rsidRDefault="00E932B9" w:rsidP="00B66B4F">
      <w:pPr>
        <w:pStyle w:val="xmsonormal"/>
        <w:spacing w:before="0" w:beforeAutospacing="0" w:after="0" w:afterAutospacing="0" w:line="480" w:lineRule="auto"/>
      </w:pPr>
      <w:r>
        <w:t>Integer linear programming algorithms (</w:t>
      </w:r>
      <w:proofErr w:type="spellStart"/>
      <w:r>
        <w:t>Gurobi</w:t>
      </w:r>
      <w:proofErr w:type="spellEnd"/>
      <w:r>
        <w:t>, Symphony) outperformed simulated annealing (</w:t>
      </w:r>
      <w:proofErr w:type="spellStart"/>
      <w:r>
        <w:t>Marxan</w:t>
      </w:r>
      <w:proofErr w:type="spellEnd"/>
      <w:r>
        <w:t xml:space="preserve">) in terms of finding the optimal solution in every single case. This resulted in a lower objective value, but in our case of using assessed land values as cost, we show that cost savings ranging from 12 to 30% result in hugely reduced expenditures. At the 30% protection target ILP solvers resulted in solutions that were $144M cheaper than SA. </w:t>
      </w:r>
      <w:bookmarkStart w:id="1" w:name="_GoBack"/>
      <w:bookmarkEnd w:id="1"/>
    </w:p>
    <w:p w14:paraId="5E157447" w14:textId="5269030E" w:rsidR="00186AA6" w:rsidRDefault="00186AA6" w:rsidP="00B66B4F">
      <w:pPr>
        <w:pStyle w:val="xmsonormal"/>
        <w:spacing w:before="0" w:beforeAutospacing="0" w:after="0" w:afterAutospacing="0" w:line="480" w:lineRule="auto"/>
        <w:rPr>
          <w:b/>
        </w:rPr>
      </w:pPr>
      <w:r w:rsidRPr="00D2043C">
        <w:rPr>
          <w:b/>
        </w:rPr>
        <w:t>Discussion</w:t>
      </w:r>
    </w:p>
    <w:p w14:paraId="21A71BAF" w14:textId="77777777" w:rsidR="002C76ED" w:rsidRPr="0085459E" w:rsidRDefault="002C76ED" w:rsidP="00B66B4F">
      <w:pPr>
        <w:pStyle w:val="xmsonormal"/>
        <w:spacing w:before="0" w:beforeAutospacing="0" w:after="0" w:afterAutospacing="0" w:line="480" w:lineRule="auto"/>
      </w:pPr>
    </w:p>
    <w:p w14:paraId="184CB3E3" w14:textId="7AB5926E" w:rsidR="001218D3" w:rsidRDefault="001218D3" w:rsidP="001218D3">
      <w:pPr>
        <w:spacing w:line="480" w:lineRule="auto"/>
        <w:rPr>
          <w:rFonts w:cs="Times New Roman"/>
          <w:b/>
        </w:rPr>
      </w:pPr>
      <w:r w:rsidRPr="00D2043C">
        <w:rPr>
          <w:rFonts w:cs="Times New Roman"/>
          <w:b/>
        </w:rPr>
        <w:t>Conclusion</w:t>
      </w:r>
    </w:p>
    <w:p w14:paraId="22BF82DE" w14:textId="6F3855F7" w:rsidR="00363073" w:rsidRDefault="00363073" w:rsidP="001218D3">
      <w:pPr>
        <w:spacing w:line="480" w:lineRule="auto"/>
        <w:rPr>
          <w:rFonts w:cs="Times New Roman"/>
        </w:rPr>
      </w:pPr>
      <w:r>
        <w:rPr>
          <w:rFonts w:cs="Times New Roman"/>
        </w:rPr>
        <w:t xml:space="preserve">Integer linear programming </w:t>
      </w:r>
      <w:r w:rsidR="001712E6">
        <w:rPr>
          <w:rFonts w:cs="Times New Roman"/>
        </w:rPr>
        <w:t xml:space="preserve">algorithms </w:t>
      </w:r>
      <w:r>
        <w:rPr>
          <w:rFonts w:cs="Times New Roman"/>
        </w:rPr>
        <w:t xml:space="preserve">outperform simulated annealing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of time required to find near optimal or optimal solutions and more importantly in terms of solution cost. Using an integer linear programming algorithm, as implemented in the R package </w:t>
      </w:r>
      <w:proofErr w:type="spellStart"/>
      <w:r w:rsidR="001712E6">
        <w:rPr>
          <w:rFonts w:cs="Times New Roman"/>
        </w:rPr>
        <w:t>prioritizr</w:t>
      </w:r>
      <w:proofErr w:type="spellEnd"/>
      <w:r w:rsidR="001712E6">
        <w:rPr>
          <w:rFonts w:cs="Times New Roman"/>
        </w:rPr>
        <w:t>, has the added benefit that users don’t need to worry or set parameters such as species penalty factors or number of iterations anymore, which significantly the time a user spends of finding suitable values for these parameters.</w:t>
      </w:r>
      <w:r w:rsidR="00EA1269">
        <w:rPr>
          <w:rFonts w:cs="Times New Roman"/>
        </w:rPr>
        <w:t xml:space="preserve"> 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p>
    <w:p w14:paraId="5F46E96D" w14:textId="77777777" w:rsidR="00A65B3B" w:rsidRPr="00363073" w:rsidRDefault="00A65B3B" w:rsidP="001218D3">
      <w:pPr>
        <w:spacing w:line="480" w:lineRule="auto"/>
        <w:rPr>
          <w:rFonts w:cs="Times New Roman"/>
        </w:rPr>
      </w:pP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lastRenderedPageBreak/>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Ando, A., J. Camm, S. Polasky,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Possingham, and M. E. E. Watts. 2009. Marxan and relatives: Software for spatial conservation prioritisation. Pages 185–195 </w:t>
      </w:r>
      <w:r w:rsidRPr="00BE2B2D">
        <w:rPr>
          <w:rFonts w:cs="Times New Roman"/>
          <w:i/>
          <w:iCs/>
        </w:rPr>
        <w:t>in</w:t>
      </w:r>
      <w:r w:rsidRPr="00BE2B2D">
        <w:rPr>
          <w:rFonts w:cs="Times New Roman"/>
        </w:rPr>
        <w:t xml:space="preserve"> A. Moilanen, K. Wilson, and H. P. Possingham, editors. Spatial conservation prioritisation: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Beyer, H. L., Y. Dujardin, M. E. Watts, and H. P. Possingham.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Hanson, J., R. Schuster, N. Morrell, M. Strimas-Mackey, M. E. Watts, P. Arcese, J. R. Bennett, and H. P. Possingham. 2019. prioritizr: Systematic Conservation Prioritization in R, Version 4.0.2.</w:t>
      </w:r>
    </w:p>
    <w:p w14:paraId="149998F0" w14:textId="77777777" w:rsidR="00BE2B2D" w:rsidRPr="00BE2B2D" w:rsidRDefault="00BE2B2D" w:rsidP="00BE2B2D">
      <w:pPr>
        <w:pStyle w:val="Bibliography"/>
        <w:rPr>
          <w:rFonts w:cs="Times New Roman"/>
        </w:rPr>
      </w:pPr>
      <w:r w:rsidRPr="00BE2B2D">
        <w:rPr>
          <w:rFonts w:cs="Times New Roman"/>
        </w:rPr>
        <w:t>Hochachka, W. M., D. Fink, R. A. Hutchinson, D. Sheldon, W.-K. Wong, and S. Kelling.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r w:rsidRPr="00BE2B2D">
        <w:rPr>
          <w:rFonts w:cs="Times New Roman"/>
        </w:rPr>
        <w:t>Margules, C. R., and R. L. Pressey.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McIntosh, E. J., R. L. Pressey, S. Lloyd, R. Smith, and R. Grenyer. 2017. The Impact of Systematic Conservation Planning. Annual Review of Environment and Resources 42:annurev-environ-102016-060902.</w:t>
      </w:r>
    </w:p>
    <w:p w14:paraId="04C40C1A" w14:textId="77777777" w:rsidR="00BE2B2D" w:rsidRPr="00BE2B2D" w:rsidRDefault="00BE2B2D" w:rsidP="00BE2B2D">
      <w:pPr>
        <w:pStyle w:val="Bibliography"/>
        <w:rPr>
          <w:rFonts w:cs="Times New Roman"/>
        </w:rPr>
      </w:pPr>
      <w:r w:rsidRPr="00BE2B2D">
        <w:rPr>
          <w:rFonts w:cs="Times New Roman"/>
        </w:rPr>
        <w:t>Meidinger, D., and J. Pojar.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Naidoo, R., A. Balmford, P. J. Ferraro, S. Polasky, T. H. Ricketts, and M. Rouget.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r w:rsidRPr="00BE2B2D">
        <w:rPr>
          <w:rFonts w:cs="Times New Roman"/>
        </w:rPr>
        <w:t>Polasky, S., J. D. Camm, and B. Garber-Yonts.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Schuster, R., E. A. Law, A. D. Rodewald, T. G. Martin, K. A. Wilson, M. Watts, H. P. Possingham, and P. Arcese.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Schuster, R., T. G. Martin, and P. Arcese. 2014. Bird community conservation and carbon offsets in Western North America. PLoS ONE.</w:t>
      </w:r>
    </w:p>
    <w:p w14:paraId="690E5372" w14:textId="77777777" w:rsidR="00BE2B2D" w:rsidRPr="00BE2B2D" w:rsidRDefault="00BE2B2D" w:rsidP="00BE2B2D">
      <w:pPr>
        <w:pStyle w:val="Bibliography"/>
        <w:rPr>
          <w:rFonts w:cs="Times New Roman"/>
        </w:rPr>
      </w:pPr>
      <w:r w:rsidRPr="00BE2B2D">
        <w:rPr>
          <w:rFonts w:cs="Times New Roman"/>
        </w:rPr>
        <w:t>Sullivan, B. L., J. L. Aycrigg, J. H. Barry, R. E. Bonney, N. Bruns, C. B. Cooper, T. Damoulas, A. A. Dhondt, T. Dietterich, A. Farnsworth, and others. 2014. The eBird enterprise: an integrated approach to development and application of citizen science. Biological Conservation 169:31–40.</w:t>
      </w:r>
    </w:p>
    <w:p w14:paraId="549B91A4" w14:textId="452AE762" w:rsidR="00507EFE" w:rsidRDefault="00146B9F" w:rsidP="00932BC3">
      <w:pPr>
        <w:widowControl w:val="0"/>
        <w:autoSpaceDE w:val="0"/>
        <w:autoSpaceDN w:val="0"/>
        <w:adjustRightInd w:val="0"/>
        <w:spacing w:after="0" w:line="480" w:lineRule="auto"/>
        <w:rPr>
          <w:rFonts w:cs="Times New Roman"/>
          <w:szCs w:val="24"/>
        </w:rPr>
      </w:pPr>
      <w:r w:rsidRPr="00D2043C">
        <w:rPr>
          <w:rFonts w:cs="Times New Roman"/>
          <w:szCs w:val="24"/>
        </w:rPr>
        <w:fldChar w:fldCharType="end"/>
      </w:r>
    </w:p>
    <w:p w14:paraId="19FB6562" w14:textId="77777777" w:rsidR="00507EFE" w:rsidRDefault="00507EFE">
      <w:pPr>
        <w:rPr>
          <w:rFonts w:cs="Times New Roman"/>
          <w:szCs w:val="24"/>
        </w:rPr>
      </w:pPr>
      <w:r>
        <w:rPr>
          <w:rFonts w:cs="Times New Roman"/>
          <w:szCs w:val="24"/>
        </w:rPr>
        <w:br w:type="page"/>
      </w:r>
    </w:p>
    <w:p w14:paraId="49146FC3" w14:textId="77777777" w:rsidR="00A072DE" w:rsidRDefault="00A072DE">
      <w:pPr>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072DE">
            <w:pPr>
              <w:spacing w:after="0" w:line="24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072DE">
            <w:pPr>
              <w:spacing w:after="0" w:line="24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072DE">
            <w:pPr>
              <w:spacing w:after="0" w:line="24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072DE">
            <w:pPr>
              <w:spacing w:after="0" w:line="24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4805E4CE" w:rsidR="002F23EF" w:rsidRDefault="00A072DE">
      <w:pPr>
        <w:rPr>
          <w:rFonts w:cs="Times New Roman"/>
          <w:b/>
          <w:lang w:val="en-CA"/>
        </w:rPr>
      </w:pPr>
      <w:r>
        <w:rPr>
          <w:rFonts w:cs="Times New Roman"/>
          <w:b/>
          <w:lang w:val="en-CA"/>
        </w:rPr>
        <w:br w:type="page"/>
      </w:r>
      <w:r w:rsidR="002F23EF">
        <w:rPr>
          <w:rFonts w:cs="Times New Roman"/>
          <w:b/>
          <w:lang w:val="en-CA"/>
        </w:rPr>
        <w:lastRenderedPageBreak/>
        <w:br w:type="page"/>
      </w:r>
    </w:p>
    <w:p w14:paraId="252799B7" w14:textId="43A1B98D" w:rsidR="00410958" w:rsidRDefault="002F23EF">
      <w:pPr>
        <w:rPr>
          <w:rFonts w:cs="Times New Roman"/>
          <w:b/>
          <w:lang w:val="en-CA"/>
        </w:rPr>
      </w:pPr>
      <w:r>
        <w:rPr>
          <w:rFonts w:cs="Times New Roman"/>
          <w:b/>
          <w:lang w:val="en-CA"/>
        </w:rPr>
        <w:lastRenderedPageBreak/>
        <w:t>Figure 1.</w:t>
      </w:r>
    </w:p>
    <w:p w14:paraId="2E583396" w14:textId="0698EC34" w:rsidR="002F23EF" w:rsidRDefault="003F7D2F">
      <w:pPr>
        <w:rPr>
          <w:rFonts w:cs="Times New Roman"/>
          <w:b/>
          <w:lang w:val="en-CA"/>
        </w:rPr>
      </w:pPr>
      <w:r>
        <w:rPr>
          <w:rFonts w:cs="Times New Roman"/>
          <w:b/>
          <w:noProof/>
          <w:lang w:val="en-CA"/>
        </w:rPr>
        <w:drawing>
          <wp:inline distT="0" distB="0" distL="0" distR="0" wp14:anchorId="33AA2FCD" wp14:editId="445FD1DC">
            <wp:extent cx="6700792" cy="4167303"/>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0792" cy="4167303"/>
                    </a:xfrm>
                    <a:prstGeom prst="rect">
                      <a:avLst/>
                    </a:prstGeom>
                  </pic:spPr>
                </pic:pic>
              </a:graphicData>
            </a:graphic>
          </wp:inline>
        </w:drawing>
      </w:r>
    </w:p>
    <w:p w14:paraId="5FE78C18" w14:textId="4C90C61E" w:rsidR="00A072DE" w:rsidRDefault="00A072DE">
      <w:pPr>
        <w:rPr>
          <w:rFonts w:cs="Times New Roman"/>
          <w:b/>
          <w:lang w:val="en-CA"/>
        </w:rPr>
      </w:pPr>
    </w:p>
    <w:p w14:paraId="1222FD1B" w14:textId="77777777" w:rsidR="00511B22" w:rsidRDefault="00511B22">
      <w:pPr>
        <w:rPr>
          <w:rFonts w:cs="Times New Roman"/>
          <w:b/>
          <w:lang w:val="en-CA"/>
        </w:rPr>
      </w:pPr>
      <w:r>
        <w:rPr>
          <w:rFonts w:cs="Times New Roman"/>
          <w:b/>
          <w:lang w:val="en-CA"/>
        </w:rPr>
        <w:br w:type="page"/>
      </w:r>
    </w:p>
    <w:p w14:paraId="0CB689E3" w14:textId="2813940A" w:rsidR="00A072DE" w:rsidRDefault="00511B22" w:rsidP="00932BC3">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541F8B65" w:rsidR="00511B22" w:rsidRDefault="00511B22">
      <w:pPr>
        <w:rPr>
          <w:rFonts w:cs="Times New Roman"/>
          <w:b/>
          <w:lang w:val="en-CA"/>
        </w:rPr>
      </w:pPr>
      <w:r>
        <w:rPr>
          <w:rFonts w:cs="Times New Roman"/>
          <w:b/>
          <w:noProof/>
          <w:lang w:val="en-CA"/>
        </w:rPr>
        <w:drawing>
          <wp:inline distT="0" distB="0" distL="0" distR="0" wp14:anchorId="59338DBD" wp14:editId="01B1867B">
            <wp:extent cx="6705600" cy="41702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7760" cy="4171567"/>
                    </a:xfrm>
                    <a:prstGeom prst="rect">
                      <a:avLst/>
                    </a:prstGeom>
                  </pic:spPr>
                </pic:pic>
              </a:graphicData>
            </a:graphic>
          </wp:inline>
        </w:drawing>
      </w:r>
      <w:r>
        <w:rPr>
          <w:rFonts w:cs="Times New Roman"/>
          <w:b/>
          <w:lang w:val="en-CA"/>
        </w:rPr>
        <w:br w:type="page"/>
      </w:r>
    </w:p>
    <w:p w14:paraId="5D187F70" w14:textId="77777777" w:rsidR="00511B22" w:rsidRDefault="00511B22" w:rsidP="00932BC3">
      <w:pPr>
        <w:widowControl w:val="0"/>
        <w:autoSpaceDE w:val="0"/>
        <w:autoSpaceDN w:val="0"/>
        <w:adjustRightInd w:val="0"/>
        <w:spacing w:after="0" w:line="480" w:lineRule="auto"/>
        <w:rPr>
          <w:rFonts w:cs="Times New Roman"/>
          <w:b/>
          <w:lang w:val="en-CA"/>
        </w:rPr>
      </w:pPr>
    </w:p>
    <w:p w14:paraId="158C5F26" w14:textId="4A55FD69" w:rsidR="00BA61CC" w:rsidRDefault="00D7150C" w:rsidP="00932BC3">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D7150C">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hideMark/>
          </w:tcPr>
          <w:p w14:paraId="70D3450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932BC3">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02-23T13:21:00Z" w:initials="rs">
    <w:p w14:paraId="65C94168" w14:textId="1BD97DF5" w:rsidR="0085459E" w:rsidRDefault="0085459E">
      <w:pPr>
        <w:pStyle w:val="CommentText"/>
      </w:pPr>
      <w:r>
        <w:rPr>
          <w:rStyle w:val="CommentReference"/>
        </w:rPr>
        <w:annotationRef/>
      </w:r>
      <w:r>
        <w:rPr>
          <w:rStyle w:val="CommentReference"/>
        </w:rPr>
        <w:t>Pulled from Beyer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94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94168" w16cid:durableId="201B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0BBCB" w14:textId="77777777" w:rsidR="00E14A53" w:rsidRDefault="00E14A53" w:rsidP="003D2D1B">
      <w:pPr>
        <w:spacing w:after="0" w:line="240" w:lineRule="auto"/>
      </w:pPr>
      <w:r>
        <w:separator/>
      </w:r>
    </w:p>
  </w:endnote>
  <w:endnote w:type="continuationSeparator" w:id="0">
    <w:p w14:paraId="4B9A1C73" w14:textId="77777777" w:rsidR="00E14A53" w:rsidRDefault="00E14A53" w:rsidP="003D2D1B">
      <w:pPr>
        <w:spacing w:after="0" w:line="240" w:lineRule="auto"/>
      </w:pPr>
      <w:r>
        <w:continuationSeparator/>
      </w:r>
    </w:p>
  </w:endnote>
  <w:endnote w:type="continuationNotice" w:id="1">
    <w:p w14:paraId="73F8AF44" w14:textId="77777777" w:rsidR="00E14A53" w:rsidRDefault="00E14A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85459E" w:rsidRDefault="0085459E">
    <w:pPr>
      <w:pStyle w:val="Footer"/>
      <w:jc w:val="right"/>
    </w:pPr>
  </w:p>
  <w:p w14:paraId="00440722" w14:textId="77777777" w:rsidR="0085459E" w:rsidRDefault="00854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B79F8" w14:textId="77777777" w:rsidR="00E14A53" w:rsidRDefault="00E14A53" w:rsidP="003D2D1B">
      <w:pPr>
        <w:spacing w:after="0" w:line="240" w:lineRule="auto"/>
      </w:pPr>
      <w:r>
        <w:separator/>
      </w:r>
    </w:p>
  </w:footnote>
  <w:footnote w:type="continuationSeparator" w:id="0">
    <w:p w14:paraId="6C411DEE" w14:textId="77777777" w:rsidR="00E14A53" w:rsidRDefault="00E14A53" w:rsidP="003D2D1B">
      <w:pPr>
        <w:spacing w:after="0" w:line="240" w:lineRule="auto"/>
      </w:pPr>
      <w:r>
        <w:continuationSeparator/>
      </w:r>
    </w:p>
  </w:footnote>
  <w:footnote w:type="continuationNotice" w:id="1">
    <w:p w14:paraId="6645F8C8" w14:textId="77777777" w:rsidR="00E14A53" w:rsidRDefault="00E14A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C3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3ED"/>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9CD"/>
    <w:rsid w:val="005C3B1D"/>
    <w:rsid w:val="005C3B9E"/>
    <w:rsid w:val="005C62D4"/>
    <w:rsid w:val="005C6B29"/>
    <w:rsid w:val="005C6FDD"/>
    <w:rsid w:val="005C7482"/>
    <w:rsid w:val="005C7B1A"/>
    <w:rsid w:val="005C7E69"/>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4E7"/>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2B9"/>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269"/>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C992-7707-49E9-8E74-2A21A4CC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16</Pages>
  <Words>6257</Words>
  <Characters>35665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101</cp:revision>
  <cp:lastPrinted>2018-11-07T17:00:00Z</cp:lastPrinted>
  <dcterms:created xsi:type="dcterms:W3CDTF">2019-02-23T14:35:00Z</dcterms:created>
  <dcterms:modified xsi:type="dcterms:W3CDTF">2019-03-04T17:14:00Z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