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Integer</w:t>
      </w:r>
      <w:r>
        <w:t xml:space="preserve"> </w:t>
      </w:r>
      <w:r>
        <w:t xml:space="preserve">programming</w:t>
      </w:r>
      <w:r>
        <w:t xml:space="preserve"> </w:t>
      </w:r>
      <w:r>
        <w:t xml:space="preserve">formulation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February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We will begin by recalling fundamental concepts in systematic</w:t>
      </w:r>
      <w:r>
        <w:t xml:space="preserve"> </w:t>
      </w:r>
      <w:r>
        <w:t xml:space="preserve">conservation planning. Conservation features describe the biodiversity</w:t>
      </w:r>
      <w:r>
        <w:t xml:space="preserve"> </w:t>
      </w:r>
      <w:r>
        <w:t xml:space="preserve">units (e.g. species, communities, habitat types) that are used to inform</w:t>
      </w:r>
      <w:r>
        <w:t xml:space="preserve"> </w:t>
      </w:r>
      <w:r>
        <w:t xml:space="preserve">protected area establishment. Planning units describe the candidate</w:t>
      </w:r>
      <w:r>
        <w:t xml:space="preserve"> </w:t>
      </w:r>
      <w:r>
        <w:t xml:space="preserve">areas for protected area establishment (e.g. cadastral units). Each</w:t>
      </w:r>
      <w:r>
        <w:t xml:space="preserve"> </w:t>
      </w:r>
      <w:r>
        <w:t xml:space="preserve">planning unit contains an amount of each feature (e.g. presence/absence,</w:t>
      </w:r>
      <w:r>
        <w:t xml:space="preserve"> </w:t>
      </w:r>
      <w:r>
        <w:t xml:space="preserve">number of individuals). A prioritisation describes a candidate set of</w:t>
      </w:r>
      <w:r>
        <w:t xml:space="preserve"> </w:t>
      </w:r>
      <w:r>
        <w:t xml:space="preserve">planning units selected for protected establishment. Each feature has a</w:t>
      </w:r>
      <w:r>
        <w:t xml:space="preserve"> </w:t>
      </w:r>
      <w:r>
        <w:t xml:space="preserve">representation target indicating the minimum amount of each feature that</w:t>
      </w:r>
      <w:r>
        <w:t xml:space="preserve"> </w:t>
      </w:r>
      <w:r>
        <w:t xml:space="preserve">ideally should be held in the prioritisation (e.g. 50 presences, 200</w:t>
      </w:r>
      <w:r>
        <w:t xml:space="preserve"> </w:t>
      </w:r>
      <w:r>
        <w:t xml:space="preserve">individuals). Furthermore, prioritisations that are costly to implement</w:t>
      </w:r>
      <w:r>
        <w:t xml:space="preserve"> </w:t>
      </w:r>
      <w:r>
        <w:t xml:space="preserve">are not desirable, and prioritisations that are excessively spatially</w:t>
      </w:r>
      <w:r>
        <w:t xml:space="preserve"> </w:t>
      </w:r>
      <w:r>
        <w:t xml:space="preserve">fragmented are not desirable. Thus we wish to identify a prioritisation</w:t>
      </w:r>
      <w:r>
        <w:t xml:space="preserve"> </w:t>
      </w:r>
      <w:r>
        <w:t xml:space="preserve">that meets the representation targets for all of the conservation</w:t>
      </w:r>
      <w:r>
        <w:t xml:space="preserve"> </w:t>
      </w:r>
      <w:r>
        <w:t xml:space="preserve">features, with minimal acquisition costs and spatial fragmentation.</w:t>
      </w:r>
    </w:p>
    <w:p>
      <w:pPr>
        <w:pStyle w:val="BodyText"/>
      </w:pPr>
      <w:r>
        <w:t xml:space="preserve">We will now express these concepts using mathematical notation. Let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denote the set of conservation features (indexed by</w:t>
      </w:r>
      <w:r>
        <w:t xml:space="preserve"> </w:t>
      </w:r>
      <m:oMath>
        <m:r>
          <m:t>i</m:t>
        </m:r>
      </m:oMath>
      <w:r>
        <w:t xml:space="preserve">), and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 the conservation target for each feature</w:t>
      </w:r>
      <w:r>
        <w:t xml:space="preserve"> </w:t>
      </w:r>
      <m:oMath>
        <m:r>
          <m:t>i</m:t>
        </m:r>
        <m:r>
          <m:t>∈</m:t>
        </m:r>
        <m:r>
          <m:t>I</m:t>
        </m:r>
      </m:oMath>
      <w:r>
        <w:t xml:space="preserve">. Let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denote the set of planning units (indexed by</w:t>
      </w:r>
      <w:r>
        <w:t xml:space="preserve"> </w:t>
      </w:r>
      <m:oMath>
        <m:r>
          <m:t>j</m:t>
        </m:r>
      </m:oMath>
      <w:r>
        <w:t xml:space="preserve">), and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denote the cost of establishing planning unit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as a protected area.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denote the amount of each feature in each planning unit</w:t>
      </w:r>
      <w:r>
        <w:t xml:space="preserve"> </w:t>
      </w:r>
      <w:r>
        <w:t xml:space="preserve">(e.g. presence or absence of each feature in each planning unit). To</w:t>
      </w:r>
      <w:r>
        <w:t xml:space="preserve"> </w:t>
      </w:r>
      <w:r>
        <w:t xml:space="preserve">describe the spatial arrangement of planning units, let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 total amount of exposed boundary length of each planning unit. Also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L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denote the total amount of shared boundary length between</w:t>
      </w:r>
      <w:r>
        <w:t xml:space="preserve"> </w:t>
      </w:r>
      <w:r>
        <w:t xml:space="preserve">each planning unit</w:t>
      </w:r>
      <w:r>
        <w:t xml:space="preserve"> </w:t>
      </w:r>
      <m:oMath>
        <m:r>
          <m:t>j</m:t>
        </m:r>
        <m:r>
          <m:t>∈</m:t>
        </m:r>
        <m: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t>∈</m:t>
        </m:r>
        <m:r>
          <m:t>J</m:t>
        </m:r>
      </m:oMath>
      <w:r>
        <w:t xml:space="preserve"> </w:t>
      </w:r>
      <w:r>
        <w:t xml:space="preserve">(where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are not equal). Furthermore, to describe our aversion to spatial</w:t>
      </w:r>
      <w:r>
        <w:t xml:space="preserve"> </w:t>
      </w:r>
      <w:r>
        <w:t xml:space="preserve">fragmentation, let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denote a spatial fragmentation penalty value</w:t>
      </w:r>
      <w:r>
        <w:t xml:space="preserve"> </w:t>
      </w:r>
      <w:r>
        <w:t xml:space="preserve">(equivalent to the</w:t>
      </w:r>
      <w:r>
        <w:t xml:space="preserve"> </w:t>
      </w:r>
      <w:r>
        <w:t xml:space="preserve">“</w:t>
      </w:r>
      <w:r>
        <w:t xml:space="preserve">boundary length modifier</w:t>
      </w:r>
      <w:r>
        <w:t xml:space="preserve">”</w:t>
      </w:r>
      <w:r>
        <w:t xml:space="preserve"> </w:t>
      </w:r>
      <w:r>
        <w:t xml:space="preserve">parameter in the</w:t>
      </w:r>
      <w:r>
        <w:t xml:space="preserve"> </w:t>
      </w:r>
      <w:r>
        <w:t xml:space="preserve">Marxan decision support tool). Higher penalty values indicate a</w:t>
      </w:r>
      <w:r>
        <w:t xml:space="preserve"> </w:t>
      </w:r>
      <w:r>
        <w:t xml:space="preserve">preference for less fragmented prioritisations.</w:t>
      </w:r>
    </w:p>
    <w:p>
      <w:pPr>
        <w:pStyle w:val="BodyText"/>
      </w:pPr>
      <w:r>
        <w:t xml:space="preserve">We will consider the following example to explain the spatial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variables in further detail. Imagine three square</w:t>
      </w:r>
      <w:r>
        <w:t xml:space="preserve"> </w:t>
      </w:r>
      <w:r>
        <w:t xml:space="preserve">planning units (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) that are each 100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100 m in size and arranged left to right in a line. These planning units</w:t>
      </w:r>
      <w:r>
        <w:t xml:space="preserve"> </w:t>
      </w:r>
      <w:r>
        <w:t xml:space="preserve">each have a total amount of exposed boundary length of 400 m (i.e.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t>=</m:t>
        </m:r>
        <m:r>
          <m:t>400</m:t>
        </m:r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=</m:t>
        </m:r>
        <m:r>
          <m:t>400</m:t>
        </m:r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3</m:t>
            </m:r>
          </m:sub>
        </m:sSub>
        <m:r>
          <m:t>=</m:t>
        </m:r>
        <m:r>
          <m:t>400</m:t>
        </m:r>
      </m:oMath>
      <w:r>
        <w:t xml:space="preserve">). Additionally,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have a shared boundary length of 100 m (i.e.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</m:sSub>
        <m:r>
          <m:t>=</m:t>
        </m:r>
        <m:r>
          <m:t>100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  <m:r>
              <m:t>,</m:t>
            </m:r>
            <m:r>
              <m:t>1</m:t>
            </m:r>
          </m:sub>
        </m:sSub>
        <m:r>
          <m:t>=</m:t>
        </m:r>
        <m:r>
          <m:t>100</m:t>
        </m:r>
      </m:oMath>
      <w:r>
        <w:t xml:space="preserve">);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have a shared boundary length of</w:t>
      </w:r>
      <w:r>
        <w:t xml:space="preserve"> </w:t>
      </w:r>
      <w:r>
        <w:t xml:space="preserve">100 m (i.e.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  <m:r>
              <m:t>,</m:t>
            </m:r>
            <m:r>
              <m:t>3</m:t>
            </m:r>
          </m:sub>
        </m:sSub>
        <m:r>
          <m:t>=</m:t>
        </m:r>
        <m:r>
          <m:t>100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3</m:t>
            </m:r>
            <m:r>
              <m:t>,</m:t>
            </m:r>
            <m:r>
              <m:t>2</m:t>
            </m:r>
          </m:sub>
        </m:sSub>
        <m:r>
          <m:t>=</m:t>
        </m:r>
        <m:r>
          <m:t>100</m:t>
        </m:r>
      </m:oMath>
      <w:r>
        <w:t xml:space="preserve">); and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have a shared shared boundary length of 0 m (i.e.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  <m:r>
              <m:t>,</m:t>
            </m:r>
            <m:r>
              <m:t>3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3</m:t>
            </m:r>
            <m:r>
              <m:t>,</m:t>
            </m:r>
            <m:r>
              <m:t>1</m:t>
            </m:r>
          </m:sub>
        </m:sSub>
        <m:r>
          <m:t>=</m:t>
        </m:r>
        <m:r>
          <m:t>0</m:t>
        </m:r>
      </m:oMath>
      <w:r>
        <w:t xml:space="preserve">). Note that planning units do not</w:t>
      </w:r>
      <w:r>
        <w:t xml:space="preserve"> </w:t>
      </w:r>
      <w:r>
        <w:t xml:space="preserve">share any boundary lengths with themselves (i.e.</w:t>
      </w:r>
      <w:r>
        <w:t xml:space="preserve"> </w:t>
      </w:r>
      <m:oMath>
        <m:sSub>
          <m:e>
            <m:r>
              <m:t>L</m:t>
            </m:r>
          </m:e>
          <m:sub>
            <m:r>
              <m:t>1</m:t>
            </m:r>
            <m:r>
              <m:t>,</m:t>
            </m:r>
            <m:r>
              <m:t>1</m:t>
            </m:r>
          </m:sub>
        </m:sSub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2</m:t>
            </m:r>
            <m:r>
              <m:t>,</m:t>
            </m:r>
            <m:r>
              <m:t>2</m:t>
            </m:r>
          </m:sub>
        </m:sSub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3</m:t>
            </m:r>
            <m:r>
              <m:t>,</m:t>
            </m:r>
            <m:r>
              <m:t>3</m:t>
            </m:r>
          </m:sub>
        </m:sSub>
        <m:r>
          <m:t>=</m:t>
        </m:r>
        <m:r>
          <m:t>0</m:t>
        </m:r>
      </m:oMath>
      <w:r>
        <w:t xml:space="preserve">).</w:t>
      </w:r>
    </w:p>
    <w:p>
      <w:pPr>
        <w:pStyle w:val="BodyText"/>
      </w:pPr>
      <w:r>
        <w:t xml:space="preserve">We use the binary decision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 planning units</w:t>
      </w:r>
      <w:r>
        <w:t xml:space="preserve"> </w:t>
      </w:r>
      <m:oMath>
        <m:r>
          <m:t>j</m:t>
        </m:r>
        <m:r>
          <m:t>∈</m:t>
        </m:r>
        <m:r>
          <m:t>J</m:t>
        </m:r>
      </m:oMath>
      <w:r>
        <w:t xml:space="preserve"> </w:t>
      </w:r>
      <w:r>
        <w:t xml:space="preserve">(eqn 1a), and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for planning units</w:t>
      </w:r>
      <w:r>
        <w:t xml:space="preserve"> </w:t>
      </w:r>
      <m:oMath>
        <m:r>
          <m:t>j</m:t>
        </m:r>
        <m:r>
          <m:t>∈</m:t>
        </m:r>
        <m: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k</m:t>
        </m:r>
        <m:r>
          <m:t>∈</m:t>
        </m:r>
        <m:r>
          <m:t>J</m:t>
        </m:r>
      </m:oMath>
      <w:r>
        <w:t xml:space="preserve"> </w:t>
      </w:r>
      <w:r>
        <w:t xml:space="preserve">(eqn 1b).</w:t>
      </w:r>
    </w:p>
    <w:p>
      <w:pPr>
        <w:pStyle w:val="BodyText"/>
      </w:pPr>
      <w:r>
        <w:t xml:space="preserve">$$\begin{aligned}
X_j &amp;=
\begin{cases}
1, \text{ if $j$ selected for prioritisation}, \tag{eqn 1a} \\
0, \text{ else }
\end{cases} \\
Y_{jk} &amp;=
\begin{cases}
1, \text{ if both $j$ and $k$ selected for prioritisation}, \tag{eqn 1b} \\
0, \text{ else } \\
\end{cases}\end{aligned}$$</w:t>
      </w:r>
    </w:p>
    <w:p>
      <w:pPr>
        <w:pStyle w:val="FirstParagraph"/>
      </w:pPr>
      <w:r>
        <w:t xml:space="preserve">The reserve selection problem can be formulated following:</w:t>
      </w:r>
    </w:p>
    <w:p>
      <w:pPr>
        <w:pStyle w:val="BodyText"/>
      </w:pPr>
      <w:r>
        <w:t xml:space="preserve">$$\begin{aligned}
\text{minimize} &amp; \sum_{j \in J} X_j C_j + \left( \sum_{j \in J} p E_{j} \right) - \left( 0.5  \times \sum_{j \in J} \sum_{k \in J} p Y_{jk} L_{jk} \right) \tag{eqn 2a} \\
\text{subject to} &amp; \sum_j^J R_{ij} \geq T_i &amp; \forall i \in I  \tag{eqn 2b} \\
&amp; Y_{jk} - X_j \leq 0 &amp; \forall j \in J \tag{eqn 2c} \\
&amp; Y_{jk} - X_k \leq 0 &amp; \forall k \in J \tag{eqn 2d} \\
&amp; Y_{jk} - X_j - X_k \geq -1 &amp; \forall j \in J, k \in K \tag{eqn 2e} \\
&amp; X_j \in \{ 0, 1 \} &amp; \forall j \in J \tag{eqn 2f} \\
&amp; Y_{jk} \in \{ 0, 1 \} &amp; \forall j \in J, k  \in K \tag{eqn 2g} \\\end{aligned}$$</w:t>
      </w:r>
    </w:p>
    <w:p>
      <w:pPr>
        <w:pStyle w:val="FirstParagraph"/>
      </w:pPr>
      <w:r>
        <w:t xml:space="preserve">The objective function (eqn 2a) is the combined cost of establishing the</w:t>
      </w:r>
      <w:r>
        <w:t xml:space="preserve"> </w:t>
      </w:r>
      <w:r>
        <w:t xml:space="preserve">selected planning units as protected areas and the penalized amount of</w:t>
      </w:r>
      <w:r>
        <w:t xml:space="preserve"> </w:t>
      </w:r>
      <w:r>
        <w:t xml:space="preserve">exposed boundary length associated with the selected planning units.</w:t>
      </w:r>
      <w:r>
        <w:t xml:space="preserve"> </w:t>
      </w:r>
      <w:r>
        <w:t xml:space="preserve">Constraints (eqn 2b) ensure that the conservation targets (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) are</w:t>
      </w:r>
      <w:r>
        <w:t xml:space="preserve"> </w:t>
      </w:r>
      <w:r>
        <w:t xml:space="preserve">met for all conservation features. Additionally, constraints (eqns</w:t>
      </w:r>
      <w:r>
        <w:t xml:space="preserve"> </w:t>
      </w:r>
      <w:r>
        <w:t xml:space="preserve">2c–2e) ensure that the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variables are calculated are</w:t>
      </w:r>
      <w:r>
        <w:t xml:space="preserve"> </w:t>
      </w:r>
      <w:r>
        <w:t xml:space="preserve">correctly (as outlined in Beyer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2016). Finally,</w:t>
      </w:r>
      <w:r>
        <w:t xml:space="preserve"> </w:t>
      </w:r>
      <w:r>
        <w:t xml:space="preserve">constraints (eqns 2f and 2g) ensure that the decision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contain zeros or ones.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ecfd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Integer programming formulation</dc:title>
  <dc:creator/>
  <dcterms:created xsi:type="dcterms:W3CDTF">2020-02-20T23:58:17Z</dcterms:created>
  <dcterms:modified xsi:type="dcterms:W3CDTF">2020-02-20T23:58:17Z</dcterms:modified>
</cp:coreProperties>
</file>