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501E1" w14:textId="77777777" w:rsidR="00E61D6B" w:rsidRPr="00975F98" w:rsidRDefault="00E61D6B" w:rsidP="0058576B">
      <w:pPr>
        <w:spacing w:after="12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75F98">
        <w:rPr>
          <w:rFonts w:ascii="Times New Roman" w:hAnsi="Times New Roman" w:cs="Times New Roman"/>
          <w:i/>
          <w:iCs/>
          <w:sz w:val="24"/>
          <w:szCs w:val="24"/>
        </w:rPr>
        <w:t>Climatic Risk</w:t>
      </w:r>
    </w:p>
    <w:p w14:paraId="6DF5CEBB" w14:textId="77777777" w:rsidR="00E61D6B" w:rsidRPr="002063CD" w:rsidRDefault="00E61D6B" w:rsidP="0058576B">
      <w:pPr>
        <w:spacing w:after="120" w:line="276" w:lineRule="auto"/>
        <w:rPr>
          <w:rFonts w:ascii="Times New Roman" w:hAnsi="Times New Roman" w:cs="Times New Roman"/>
          <w:color w:val="221E1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estimated climatic risk based on the estimated trend in the annual proportion of days containing extreme heat events </w:t>
      </w:r>
      <w:r>
        <w:rPr>
          <w:rFonts w:ascii="Times New Roman" w:hAnsi="Times New Roman" w:cs="Times New Roman"/>
          <w:color w:val="221E1F"/>
          <w:sz w:val="24"/>
          <w:szCs w:val="24"/>
        </w:rPr>
        <w:t xml:space="preserve">from 1979 to 2019 </w:t>
      </w:r>
      <w:r>
        <w:rPr>
          <w:rFonts w:ascii="Times New Roman" w:hAnsi="Times New Roman" w:cs="Times New Roman"/>
          <w:noProof/>
          <w:sz w:val="24"/>
          <w:szCs w:val="24"/>
        </w:rPr>
        <w:t>(La Sorte et al. in review)</w:t>
      </w:r>
      <w:r>
        <w:rPr>
          <w:rFonts w:ascii="Times New Roman" w:hAnsi="Times New Roman" w:cs="Times New Roman"/>
          <w:color w:val="221E1F"/>
          <w:sz w:val="24"/>
          <w:szCs w:val="24"/>
        </w:rPr>
        <w:t>. Extreme heat events were estimated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1E1F"/>
          <w:sz w:val="24"/>
          <w:szCs w:val="24"/>
        </w:rPr>
        <w:t>hourly air temperature at 2 m above the surface and gridded at a 31 km (0.28125° at the equator) spatial resolution (</w:t>
      </w:r>
      <w:r w:rsidRPr="00784B9F">
        <w:rPr>
          <w:rFonts w:ascii="Times New Roman" w:hAnsi="Times New Roman" w:cs="Times New Roman"/>
          <w:color w:val="221E1F"/>
          <w:sz w:val="24"/>
          <w:szCs w:val="24"/>
        </w:rPr>
        <w:t>DOI: 10.24381/</w:t>
      </w:r>
      <w:proofErr w:type="gramStart"/>
      <w:r w:rsidRPr="00784B9F">
        <w:rPr>
          <w:rFonts w:ascii="Times New Roman" w:hAnsi="Times New Roman" w:cs="Times New Roman"/>
          <w:color w:val="221E1F"/>
          <w:sz w:val="24"/>
          <w:szCs w:val="24"/>
        </w:rPr>
        <w:t>cds.adbb</w:t>
      </w:r>
      <w:proofErr w:type="gramEnd"/>
      <w:r w:rsidRPr="00784B9F">
        <w:rPr>
          <w:rFonts w:ascii="Times New Roman" w:hAnsi="Times New Roman" w:cs="Times New Roman"/>
          <w:color w:val="221E1F"/>
          <w:sz w:val="24"/>
          <w:szCs w:val="24"/>
        </w:rPr>
        <w:t>2d47</w:t>
      </w:r>
      <w:r>
        <w:rPr>
          <w:rFonts w:ascii="Times New Roman" w:hAnsi="Times New Roman" w:cs="Times New Roman"/>
          <w:color w:val="221E1F"/>
          <w:sz w:val="24"/>
          <w:szCs w:val="24"/>
        </w:rPr>
        <w:t>). The temperature data was</w:t>
      </w:r>
      <w:r>
        <w:rPr>
          <w:rFonts w:ascii="Times New Roman" w:hAnsi="Times New Roman" w:cs="Times New Roman"/>
          <w:sz w:val="24"/>
          <w:szCs w:val="24"/>
        </w:rPr>
        <w:t xml:space="preserve"> acquired from </w:t>
      </w:r>
      <w:bookmarkStart w:id="0" w:name="_Hlk37843663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84B9F">
        <w:rPr>
          <w:rFonts w:ascii="Times New Roman" w:hAnsi="Times New Roman" w:cs="Times New Roman"/>
          <w:color w:val="221E1F"/>
          <w:sz w:val="24"/>
          <w:szCs w:val="24"/>
        </w:rPr>
        <w:t>European Centre for Medium-Range Weather Forecasts</w:t>
      </w:r>
      <w:r>
        <w:rPr>
          <w:rFonts w:ascii="Times New Roman" w:hAnsi="Times New Roman" w:cs="Times New Roman"/>
          <w:color w:val="221E1F"/>
          <w:sz w:val="24"/>
          <w:szCs w:val="24"/>
        </w:rPr>
        <w:t xml:space="preserve"> (ECMWF) </w:t>
      </w:r>
      <w:r>
        <w:rPr>
          <w:rFonts w:ascii="Times New Roman" w:hAnsi="Times New Roman" w:cs="Times New Roman"/>
          <w:sz w:val="24"/>
          <w:szCs w:val="24"/>
        </w:rPr>
        <w:t xml:space="preserve">fifth generation </w:t>
      </w:r>
      <w:r>
        <w:rPr>
          <w:rFonts w:ascii="Times New Roman" w:hAnsi="Times New Roman" w:cs="Times New Roman"/>
          <w:color w:val="221E1F"/>
          <w:sz w:val="24"/>
          <w:szCs w:val="24"/>
        </w:rPr>
        <w:t>atmospheric reanaly</w:t>
      </w:r>
      <w:r>
        <w:rPr>
          <w:rFonts w:ascii="Times New Roman" w:hAnsi="Times New Roman" w:cs="Times New Roman"/>
          <w:color w:val="221E1F"/>
          <w:sz w:val="24"/>
          <w:szCs w:val="24"/>
        </w:rPr>
        <w:softHyphen/>
        <w:t xml:space="preserve">sis of the global climate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221E1F"/>
          <w:sz w:val="24"/>
          <w:szCs w:val="24"/>
        </w:rPr>
        <w:t>ERA</w:t>
      </w:r>
      <w:proofErr w:type="gramStart"/>
      <w:r>
        <w:rPr>
          <w:rFonts w:ascii="Times New Roman" w:hAnsi="Times New Roman" w:cs="Times New Roman"/>
          <w:color w:val="221E1F"/>
          <w:sz w:val="24"/>
          <w:szCs w:val="24"/>
        </w:rPr>
        <w:t>5)</w:t>
      </w:r>
      <w:r>
        <w:rPr>
          <w:rFonts w:ascii="Times New Roman" w:hAnsi="Times New Roman" w:cs="Times New Roman"/>
          <w:noProof/>
          <w:color w:val="221E1F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noProof/>
          <w:color w:val="221E1F"/>
          <w:sz w:val="24"/>
          <w:szCs w:val="24"/>
        </w:rPr>
        <w:t>Hersbach</w:t>
      </w:r>
      <w:proofErr w:type="spellEnd"/>
      <w:r>
        <w:rPr>
          <w:rFonts w:ascii="Times New Roman" w:hAnsi="Times New Roman" w:cs="Times New Roman"/>
          <w:noProof/>
          <w:color w:val="221E1F"/>
          <w:sz w:val="24"/>
          <w:szCs w:val="24"/>
        </w:rPr>
        <w:t xml:space="preserve"> et al. 2019, Hoffmann et al. 2019)</w:t>
      </w:r>
      <w:r>
        <w:rPr>
          <w:rFonts w:ascii="Times New Roman" w:hAnsi="Times New Roman" w:cs="Times New Roman"/>
          <w:color w:val="221E1F"/>
          <w:sz w:val="24"/>
          <w:szCs w:val="24"/>
        </w:rPr>
        <w:t xml:space="preserve">. The approach first extracted daily minimum and maximum temperature for each grid cell over the 41-year period. </w:t>
      </w:r>
      <w:bookmarkEnd w:id="0"/>
      <w:r w:rsidRPr="0032497A">
        <w:rPr>
          <w:rFonts w:ascii="Times New Roman" w:hAnsi="Times New Roman" w:cs="Times New Roman"/>
          <w:color w:val="221E1F"/>
          <w:sz w:val="24"/>
          <w:szCs w:val="24"/>
        </w:rPr>
        <w:t xml:space="preserve">To </w:t>
      </w:r>
      <w:r>
        <w:rPr>
          <w:rFonts w:ascii="Times New Roman" w:hAnsi="Times New Roman" w:cs="Times New Roman"/>
          <w:color w:val="221E1F"/>
          <w:sz w:val="24"/>
          <w:szCs w:val="24"/>
        </w:rPr>
        <w:t>reduce</w:t>
      </w:r>
      <w:r w:rsidRPr="0032497A">
        <w:rPr>
          <w:rFonts w:ascii="Times New Roman" w:hAnsi="Times New Roman" w:cs="Times New Roman"/>
          <w:color w:val="221E1F"/>
          <w:sz w:val="24"/>
          <w:szCs w:val="24"/>
        </w:rPr>
        <w:t xml:space="preserve"> the influence of warming trends, </w:t>
      </w:r>
      <w:r>
        <w:rPr>
          <w:rFonts w:ascii="Times New Roman" w:hAnsi="Times New Roman" w:cs="Times New Roman"/>
          <w:color w:val="221E1F"/>
          <w:sz w:val="24"/>
          <w:szCs w:val="24"/>
        </w:rPr>
        <w:t xml:space="preserve">the daily minimum and maximum temperature was then detrended </w:t>
      </w:r>
      <w:r w:rsidRPr="0032497A">
        <w:rPr>
          <w:rFonts w:ascii="Times New Roman" w:hAnsi="Times New Roman" w:cs="Times New Roman"/>
          <w:color w:val="221E1F"/>
          <w:sz w:val="24"/>
          <w:szCs w:val="24"/>
        </w:rPr>
        <w:t xml:space="preserve">across </w:t>
      </w:r>
      <w:r>
        <w:rPr>
          <w:rFonts w:ascii="Times New Roman" w:hAnsi="Times New Roman" w:cs="Times New Roman"/>
          <w:color w:val="221E1F"/>
          <w:sz w:val="24"/>
          <w:szCs w:val="24"/>
        </w:rPr>
        <w:t>years for each</w:t>
      </w:r>
      <w:r w:rsidRPr="0032497A">
        <w:rPr>
          <w:rFonts w:ascii="Times New Roman" w:hAnsi="Times New Roman" w:cs="Times New Roman"/>
          <w:color w:val="221E1F"/>
          <w:sz w:val="24"/>
          <w:szCs w:val="24"/>
        </w:rPr>
        <w:t xml:space="preserve"> day </w:t>
      </w:r>
      <w:r>
        <w:rPr>
          <w:rFonts w:ascii="Times New Roman" w:hAnsi="Times New Roman" w:cs="Times New Roman"/>
          <w:color w:val="221E1F"/>
          <w:sz w:val="24"/>
          <w:szCs w:val="24"/>
        </w:rPr>
        <w:t>and grid cell</w:t>
      </w:r>
      <w:r w:rsidRPr="0032497A">
        <w:rPr>
          <w:rFonts w:ascii="Times New Roman" w:hAnsi="Times New Roman" w:cs="Times New Roman"/>
          <w:color w:val="221E1F"/>
          <w:sz w:val="24"/>
          <w:szCs w:val="24"/>
        </w:rPr>
        <w:t xml:space="preserve"> using</w:t>
      </w:r>
      <w:r>
        <w:rPr>
          <w:rFonts w:ascii="Times New Roman" w:hAnsi="Times New Roman" w:cs="Times New Roman"/>
          <w:color w:val="221E1F"/>
          <w:sz w:val="24"/>
          <w:szCs w:val="24"/>
        </w:rPr>
        <w:t xml:space="preserve"> empirical mode</w:t>
      </w:r>
      <w:r w:rsidRPr="0032497A">
        <w:rPr>
          <w:rFonts w:ascii="Times New Roman" w:hAnsi="Times New Roman" w:cs="Times New Roman"/>
          <w:color w:val="221E1F"/>
          <w:sz w:val="24"/>
          <w:szCs w:val="24"/>
        </w:rPr>
        <w:t xml:space="preserve"> decomposition (EMD) </w:t>
      </w:r>
      <w:r>
        <w:rPr>
          <w:rFonts w:ascii="Times New Roman" w:hAnsi="Times New Roman" w:cs="Times New Roman"/>
          <w:noProof/>
          <w:color w:val="221E1F"/>
          <w:sz w:val="24"/>
          <w:szCs w:val="24"/>
        </w:rPr>
        <w:t>(Huang et al. 1998, Wu et al. 2007)</w:t>
      </w:r>
      <w:r w:rsidRPr="0032497A">
        <w:rPr>
          <w:rFonts w:ascii="Times New Roman" w:hAnsi="Times New Roman" w:cs="Times New Roman"/>
          <w:color w:val="221E1F"/>
          <w:sz w:val="24"/>
          <w:szCs w:val="24"/>
        </w:rPr>
        <w:t>.</w:t>
      </w:r>
      <w:r>
        <w:rPr>
          <w:rFonts w:ascii="Times New Roman" w:hAnsi="Times New Roman" w:cs="Times New Roman"/>
          <w:color w:val="221E1F"/>
          <w:sz w:val="24"/>
          <w:szCs w:val="24"/>
        </w:rPr>
        <w:t xml:space="preserve"> The occurrence o</w:t>
      </w:r>
      <w:r w:rsidRPr="0032497A">
        <w:rPr>
          <w:rFonts w:ascii="Times New Roman" w:hAnsi="Times New Roman" w:cs="Times New Roman"/>
          <w:color w:val="221E1F"/>
          <w:sz w:val="24"/>
          <w:szCs w:val="24"/>
        </w:rPr>
        <w:t>f</w:t>
      </w:r>
      <w:r>
        <w:rPr>
          <w:rFonts w:ascii="Times New Roman" w:hAnsi="Times New Roman" w:cs="Times New Roman"/>
          <w:color w:val="221E1F"/>
          <w:sz w:val="24"/>
          <w:szCs w:val="24"/>
        </w:rPr>
        <w:t xml:space="preserve"> extreme heat events was estimated</w:t>
      </w:r>
      <w:r>
        <w:rPr>
          <w:rFonts w:ascii="Times New Roman" w:hAnsi="Times New Roman" w:cs="Times New Roman"/>
          <w:sz w:val="24"/>
          <w:szCs w:val="24"/>
        </w:rPr>
        <w:t xml:space="preserve"> using the following approach, see </w:t>
      </w:r>
      <w:r>
        <w:rPr>
          <w:rFonts w:ascii="Times New Roman" w:hAnsi="Times New Roman" w:cs="Times New Roman"/>
          <w:noProof/>
          <w:sz w:val="24"/>
          <w:szCs w:val="24"/>
        </w:rPr>
        <w:t>La Sorte et al. (in review)</w:t>
      </w:r>
      <w:r>
        <w:rPr>
          <w:rFonts w:ascii="Times New Roman" w:hAnsi="Times New Roman" w:cs="Times New Roman"/>
          <w:color w:val="221E1F"/>
          <w:sz w:val="24"/>
          <w:szCs w:val="24"/>
        </w:rPr>
        <w:t xml:space="preserve"> for additional details</w:t>
      </w:r>
      <w:r w:rsidRPr="0032497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324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detrended </w:t>
      </w:r>
      <w:r>
        <w:rPr>
          <w:rFonts w:ascii="Times New Roman" w:hAnsi="Times New Roman" w:cs="Times New Roman"/>
          <w:color w:val="221E1F"/>
          <w:sz w:val="24"/>
          <w:szCs w:val="24"/>
        </w:rPr>
        <w:t>minimum and maximum temperature</w:t>
      </w:r>
      <w:r w:rsidRPr="00324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was treated </w:t>
      </w:r>
      <w:r w:rsidRPr="0032497A">
        <w:rPr>
          <w:rFonts w:ascii="Times New Roman" w:hAnsi="Times New Roman" w:cs="Times New Roman"/>
          <w:sz w:val="24"/>
          <w:szCs w:val="24"/>
        </w:rPr>
        <w:t>as normally distributed</w:t>
      </w:r>
      <w:r>
        <w:rPr>
          <w:rFonts w:ascii="Times New Roman" w:hAnsi="Times New Roman" w:cs="Times New Roman"/>
          <w:sz w:val="24"/>
          <w:szCs w:val="24"/>
        </w:rPr>
        <w:t xml:space="preserve"> across years for each day and grid cell. The probability d</w:t>
      </w:r>
      <w:r>
        <w:rPr>
          <w:rFonts w:ascii="Times New Roman" w:hAnsi="Times New Roman" w:cs="Times New Roman"/>
          <w:color w:val="221E1F"/>
          <w:sz w:val="24"/>
          <w:szCs w:val="24"/>
        </w:rPr>
        <w:t>en</w:t>
      </w:r>
      <w:r w:rsidRPr="0032497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color w:val="221E1F"/>
          <w:sz w:val="24"/>
          <w:szCs w:val="24"/>
        </w:rPr>
        <w:t xml:space="preserve">ity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color w:val="221E1F"/>
          <w:sz w:val="24"/>
          <w:szCs w:val="24"/>
        </w:rPr>
        <w:t>unction</w:t>
      </w:r>
      <w:r>
        <w:rPr>
          <w:rFonts w:ascii="Times New Roman" w:hAnsi="Times New Roman" w:cs="Times New Roman"/>
          <w:sz w:val="24"/>
          <w:szCs w:val="24"/>
        </w:rPr>
        <w:t xml:space="preserve"> for the detrended </w:t>
      </w:r>
      <w:r>
        <w:rPr>
          <w:rFonts w:ascii="Times New Roman" w:hAnsi="Times New Roman" w:cs="Times New Roman"/>
          <w:color w:val="221E1F"/>
          <w:sz w:val="24"/>
          <w:szCs w:val="24"/>
        </w:rPr>
        <w:t>minimum and maximum temperature</w:t>
      </w:r>
      <w:r w:rsidRPr="00324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 then estimated using the</w:t>
      </w:r>
      <w:r w:rsidRPr="0032497A">
        <w:rPr>
          <w:rFonts w:ascii="Times New Roman" w:hAnsi="Times New Roman" w:cs="Times New Roman"/>
          <w:sz w:val="24"/>
          <w:szCs w:val="24"/>
        </w:rPr>
        <w:t xml:space="preserve"> mean and standard deviation</w:t>
      </w:r>
      <w:r>
        <w:rPr>
          <w:rFonts w:ascii="Times New Roman" w:hAnsi="Times New Roman" w:cs="Times New Roman"/>
          <w:sz w:val="24"/>
          <w:szCs w:val="24"/>
        </w:rPr>
        <w:t xml:space="preserve"> calculated across years for each day and grid cell</w:t>
      </w:r>
      <w:r w:rsidRPr="0032497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221E1F"/>
          <w:sz w:val="24"/>
          <w:szCs w:val="24"/>
        </w:rPr>
        <w:t>Extreme heat events</w:t>
      </w:r>
      <w:r>
        <w:rPr>
          <w:rFonts w:ascii="Times New Roman" w:hAnsi="Times New Roman" w:cs="Times New Roman"/>
          <w:sz w:val="24"/>
          <w:szCs w:val="24"/>
        </w:rPr>
        <w:t xml:space="preserve"> occurred when</w:t>
      </w:r>
      <w:r w:rsidRPr="0032497A">
        <w:rPr>
          <w:rFonts w:ascii="Times New Roman" w:hAnsi="Times New Roman" w:cs="Times New Roman"/>
          <w:sz w:val="24"/>
          <w:szCs w:val="24"/>
        </w:rPr>
        <w:t xml:space="preserve"> the probabilities for both minimum and maximum temperature </w:t>
      </w:r>
      <w:r>
        <w:rPr>
          <w:rFonts w:ascii="Times New Roman" w:hAnsi="Times New Roman" w:cs="Times New Roman"/>
          <w:sz w:val="24"/>
          <w:szCs w:val="24"/>
        </w:rPr>
        <w:t xml:space="preserve">on a given </w:t>
      </w:r>
      <w:r w:rsidRPr="0032497A">
        <w:rPr>
          <w:rFonts w:ascii="Times New Roman" w:hAnsi="Times New Roman" w:cs="Times New Roman"/>
          <w:color w:val="221E1F"/>
          <w:sz w:val="24"/>
          <w:szCs w:val="24"/>
        </w:rPr>
        <w:t>day</w:t>
      </w:r>
      <w:r>
        <w:rPr>
          <w:rFonts w:ascii="Times New Roman" w:hAnsi="Times New Roman" w:cs="Times New Roman"/>
          <w:sz w:val="24"/>
          <w:szCs w:val="24"/>
        </w:rPr>
        <w:t xml:space="preserve"> and grid cell were within the</w:t>
      </w:r>
      <w:r>
        <w:rPr>
          <w:rFonts w:ascii="Times New Roman" w:hAnsi="Times New Roman" w:cs="Times New Roman"/>
          <w:color w:val="221E1F"/>
          <w:sz w:val="24"/>
          <w:szCs w:val="24"/>
        </w:rPr>
        <w:t xml:space="preserve"> </w:t>
      </w:r>
      <w:bookmarkStart w:id="1" w:name="_Hlk39753565"/>
      <w:r>
        <w:rPr>
          <w:rFonts w:ascii="Times New Roman" w:hAnsi="Times New Roman" w:cs="Times New Roman"/>
          <w:color w:val="221E1F"/>
          <w:sz w:val="24"/>
          <w:szCs w:val="24"/>
        </w:rPr>
        <w:t>0.95-1.00 quartile o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color w:val="221E1F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probability d</w:t>
      </w:r>
      <w:r>
        <w:rPr>
          <w:rFonts w:ascii="Times New Roman" w:hAnsi="Times New Roman" w:cs="Times New Roman"/>
          <w:color w:val="221E1F"/>
          <w:sz w:val="24"/>
          <w:szCs w:val="24"/>
        </w:rPr>
        <w:t>en</w:t>
      </w:r>
      <w:r w:rsidRPr="0032497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color w:val="221E1F"/>
          <w:sz w:val="24"/>
          <w:szCs w:val="24"/>
        </w:rPr>
        <w:t xml:space="preserve">ity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color w:val="221E1F"/>
          <w:sz w:val="24"/>
          <w:szCs w:val="24"/>
        </w:rPr>
        <w:t>unction</w:t>
      </w:r>
      <w:bookmarkEnd w:id="1"/>
      <w:r>
        <w:rPr>
          <w:rFonts w:ascii="Times New Roman" w:hAnsi="Times New Roman" w:cs="Times New Roman"/>
          <w:color w:val="221E1F"/>
          <w:sz w:val="24"/>
          <w:szCs w:val="24"/>
        </w:rPr>
        <w:t>.</w:t>
      </w:r>
      <w:r w:rsidRPr="0032497A">
        <w:rPr>
          <w:rFonts w:ascii="Times New Roman" w:hAnsi="Times New Roman" w:cs="Times New Roman"/>
          <w:color w:val="221E1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1E1F"/>
          <w:sz w:val="24"/>
          <w:szCs w:val="24"/>
        </w:rPr>
        <w:t>The trend</w:t>
      </w:r>
      <w:r w:rsidRPr="0032497A">
        <w:rPr>
          <w:rFonts w:ascii="Times New Roman" w:hAnsi="Times New Roman" w:cs="Times New Roman"/>
          <w:sz w:val="24"/>
          <w:szCs w:val="24"/>
        </w:rPr>
        <w:t xml:space="preserve"> in the annual </w:t>
      </w:r>
      <w:r>
        <w:rPr>
          <w:rFonts w:ascii="Times New Roman" w:hAnsi="Times New Roman" w:cs="Times New Roman"/>
          <w:sz w:val="24"/>
          <w:szCs w:val="24"/>
        </w:rPr>
        <w:t>proportion of days containing extreme heat events</w:t>
      </w:r>
      <w:r w:rsidRPr="00324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each year was calculated</w:t>
      </w:r>
      <w:r w:rsidRPr="00324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each grid cell </w:t>
      </w:r>
      <w:r w:rsidRPr="0032497A">
        <w:rPr>
          <w:rFonts w:ascii="Times New Roman" w:hAnsi="Times New Roman" w:cs="Times New Roman"/>
          <w:sz w:val="24"/>
          <w:szCs w:val="24"/>
        </w:rPr>
        <w:t xml:space="preserve">using beta regression with a logit link function </w:t>
      </w:r>
      <w:r>
        <w:rPr>
          <w:rFonts w:ascii="Times New Roman" w:hAnsi="Times New Roman" w:cs="Times New Roman"/>
          <w:sz w:val="24"/>
          <w:szCs w:val="24"/>
        </w:rPr>
        <w:t>and an</w:t>
      </w:r>
      <w:r w:rsidRPr="0032497A">
        <w:rPr>
          <w:rFonts w:ascii="Times New Roman" w:hAnsi="Times New Roman" w:cs="Times New Roman"/>
          <w:sz w:val="24"/>
          <w:szCs w:val="24"/>
        </w:rPr>
        <w:t xml:space="preserve"> identity function in the precision model </w:t>
      </w:r>
      <w:r>
        <w:rPr>
          <w:rFonts w:ascii="Times New Roman" w:hAnsi="Times New Roman" w:cs="Times New Roman"/>
          <w:noProof/>
          <w:sz w:val="24"/>
          <w:szCs w:val="24"/>
        </w:rPr>
        <w:t>(Ferrari and Cribari-Neto 2004, Simas et al. 2010)</w:t>
      </w:r>
      <w:r w:rsidRPr="003249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08CC68" w14:textId="77777777" w:rsidR="00E61D6B" w:rsidRDefault="00E61D6B" w:rsidP="00C45CBF"/>
    <w:p w14:paraId="0E9657A0" w14:textId="77777777" w:rsidR="00E61D6B" w:rsidRDefault="00E61D6B" w:rsidP="00C45CBF"/>
    <w:p w14:paraId="38AC3E30" w14:textId="77777777" w:rsidR="00E61D6B" w:rsidRPr="00D7325E" w:rsidRDefault="00E61D6B" w:rsidP="00D7325E">
      <w:pPr>
        <w:pStyle w:val="EndNoteBibliography"/>
        <w:spacing w:after="0"/>
        <w:ind w:left="720" w:hanging="720"/>
      </w:pPr>
      <w:r w:rsidRPr="00D7325E">
        <w:t>Ferrari, S., and F. Cribari-Neto. 2004. Beta regression for modelling rates and proportions. Journal of Applied Statistics 31:799-815.</w:t>
      </w:r>
    </w:p>
    <w:p w14:paraId="42DA7F98" w14:textId="77777777" w:rsidR="00E61D6B" w:rsidRPr="00D7325E" w:rsidRDefault="00E61D6B" w:rsidP="00D7325E">
      <w:pPr>
        <w:pStyle w:val="EndNoteBibliography"/>
        <w:spacing w:after="0"/>
        <w:ind w:left="720" w:hanging="720"/>
      </w:pPr>
      <w:r w:rsidRPr="00D7325E">
        <w:t>Hersbach, H., B. Bell, P. Berrisford, A. Horányi, J. Muñoz Sabater, J. Nicolas, R. Radu, D. Schepers, A. Simmons, C. Soci, and D. Dee. 2019. Global reanalysis: goodbye ERA-Interim, hello ERA5. ECMWF Newsletter:17-24.</w:t>
      </w:r>
    </w:p>
    <w:p w14:paraId="535DC0FC" w14:textId="77777777" w:rsidR="00E61D6B" w:rsidRPr="00D7325E" w:rsidRDefault="00E61D6B" w:rsidP="00D7325E">
      <w:pPr>
        <w:pStyle w:val="EndNoteBibliography"/>
        <w:spacing w:after="0"/>
        <w:ind w:left="720" w:hanging="720"/>
      </w:pPr>
      <w:r w:rsidRPr="00D7325E">
        <w:t>Hoffmann, L., G. Günther, D. Li, O. Stein, X. Wu, S. Griessbach, Y. Heng, P. Konopka, R. Müller, B. Vogel, and J. S. Wright. 2019. From ERA-Interim to ERA5: the considerable impact of ECMWF's next-generation reanalysis on Lagrangian transport simulations. Atmos. Chem. Phys. 19:3097-3124.</w:t>
      </w:r>
    </w:p>
    <w:p w14:paraId="4EC16A6C" w14:textId="77777777" w:rsidR="00E61D6B" w:rsidRPr="00D7325E" w:rsidRDefault="00E61D6B" w:rsidP="00D7325E">
      <w:pPr>
        <w:pStyle w:val="EndNoteBibliography"/>
        <w:spacing w:after="0"/>
        <w:ind w:left="720" w:hanging="720"/>
      </w:pPr>
      <w:r w:rsidRPr="00D7325E">
        <w:t>Huang, N. E., Z. Shen, R. Long Steven, C. Wu Manli, H. Shih Hsing, Q. Zheng, N.-C. Yen, C. Tung Chi, and H. Liu Henry. 1998. The empirical mode decomposition and the Hilbert spectrum for nonlinear and non-stationary time series analysis. Proceedings of the Royal Society of London. Series A: Mathematical, Physical and Engineering Sciences 454:903-995.</w:t>
      </w:r>
    </w:p>
    <w:p w14:paraId="6D1C9A22" w14:textId="77777777" w:rsidR="00E61D6B" w:rsidRPr="00D7325E" w:rsidRDefault="00E61D6B" w:rsidP="00D7325E">
      <w:pPr>
        <w:pStyle w:val="EndNoteBibliography"/>
        <w:spacing w:after="0"/>
        <w:ind w:left="720" w:hanging="720"/>
      </w:pPr>
      <w:r w:rsidRPr="00D7325E">
        <w:t>La Sorte, F. A., A. Johnston, and T. R. Ault. in review. Global trends in the frequency and duration of temperature extremes. Climatic Change na:na-na.</w:t>
      </w:r>
    </w:p>
    <w:p w14:paraId="7D51EF94" w14:textId="77777777" w:rsidR="00E61D6B" w:rsidRPr="00D7325E" w:rsidRDefault="00E61D6B" w:rsidP="00D7325E">
      <w:pPr>
        <w:pStyle w:val="EndNoteBibliography"/>
        <w:spacing w:after="0"/>
        <w:ind w:left="720" w:hanging="720"/>
      </w:pPr>
      <w:r w:rsidRPr="00D7325E">
        <w:t>Simas, A. B., W. Barreto-Souza, and A. V. Rocha. 2010. Improved estimators for a general class of beta regression models. Computational Statistics &amp; Data Analysis 54:348-366.</w:t>
      </w:r>
    </w:p>
    <w:p w14:paraId="4B60E9E4" w14:textId="77777777" w:rsidR="00E61D6B" w:rsidRPr="00D7325E" w:rsidRDefault="00E61D6B" w:rsidP="00D7325E">
      <w:pPr>
        <w:pStyle w:val="EndNoteBibliography"/>
        <w:ind w:left="720" w:hanging="720"/>
      </w:pPr>
      <w:r w:rsidRPr="00D7325E">
        <w:lastRenderedPageBreak/>
        <w:t>Wu, Z., N. E. Huang, S. R. Long, and C.-K. Peng. 2007. On the trend, detrending, and variability of nonlinear and nonstationary time series. Proceedings of the National Academy of Sciences USA 104:14889.</w:t>
      </w:r>
    </w:p>
    <w:p w14:paraId="5FF9A3AC" w14:textId="77777777" w:rsidR="00E61D6B" w:rsidRPr="00C45CBF" w:rsidRDefault="00E61D6B" w:rsidP="00C45CBF"/>
    <w:p w14:paraId="0708E125" w14:textId="77777777" w:rsidR="005F6200" w:rsidRDefault="005F6200"/>
    <w:sectPr w:rsidR="005F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E61D6B"/>
    <w:rsid w:val="005F6200"/>
    <w:rsid w:val="00E6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2955"/>
  <w15:chartTrackingRefBased/>
  <w15:docId w15:val="{571A2E99-1762-42A9-AFD2-72DA14EB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D6B"/>
  </w:style>
  <w:style w:type="character" w:default="1" w:styleId="DefaultParagraphFont">
    <w:name w:val="Default Paragraph Font"/>
    <w:uiPriority w:val="1"/>
    <w:semiHidden/>
    <w:unhideWhenUsed/>
    <w:rsid w:val="00E61D6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61D6B"/>
  </w:style>
  <w:style w:type="paragraph" w:customStyle="1" w:styleId="EndNoteBibliographyTitle">
    <w:name w:val="EndNote Bibliography Title"/>
    <w:basedOn w:val="Normal"/>
    <w:link w:val="EndNoteBibliographyTitleChar"/>
    <w:rsid w:val="00E61D6B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61D6B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E61D6B"/>
    <w:pPr>
      <w:spacing w:line="240" w:lineRule="auto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E61D6B"/>
    <w:rPr>
      <w:rFonts w:ascii="Times New Roman" w:hAnsi="Times New Roman" w:cs="Times New Roman"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E61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A. La Sorte</dc:creator>
  <cp:keywords/>
  <dc:description/>
  <cp:lastModifiedBy>Frank A. La Sorte</cp:lastModifiedBy>
  <cp:revision>1</cp:revision>
  <dcterms:created xsi:type="dcterms:W3CDTF">2020-11-02T00:50:00Z</dcterms:created>
  <dcterms:modified xsi:type="dcterms:W3CDTF">2020-11-02T00:50:00Z</dcterms:modified>
</cp:coreProperties>
</file>