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123D81">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123D81">
      <w:pPr>
        <w:spacing w:after="0" w:line="480" w:lineRule="auto"/>
        <w:rPr>
          <w:rFonts w:ascii="Times New Roman" w:hAnsi="Times New Roman" w:cs="Times New Roman"/>
          <w:sz w:val="24"/>
          <w:szCs w:val="24"/>
        </w:rPr>
      </w:pPr>
    </w:p>
    <w:p w14:paraId="31521448" w14:textId="431952EC" w:rsidR="00046914" w:rsidRPr="00BE6065" w:rsidRDefault="00046914" w:rsidP="00123D81">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w:t>
      </w:r>
      <w:r w:rsidRPr="00BE6065">
        <w:rPr>
          <w:rFonts w:ascii="Times New Roman" w:hAnsi="Times New Roman" w:cs="Times New Roman"/>
          <w:sz w:val="24"/>
          <w:szCs w:val="24"/>
        </w:rPr>
        <w:t xml:space="preserve">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123D81">
      <w:pPr>
        <w:spacing w:after="0" w:line="480" w:lineRule="auto"/>
        <w:rPr>
          <w:rFonts w:ascii="Times New Roman" w:hAnsi="Times New Roman" w:cs="Times New Roman"/>
          <w:sz w:val="24"/>
          <w:szCs w:val="24"/>
        </w:rPr>
      </w:pPr>
    </w:p>
    <w:p w14:paraId="3A398E0E" w14:textId="7A65B857" w:rsidR="0048124B" w:rsidRPr="00BE6065" w:rsidRDefault="0048124B"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123D81">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123D81">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D86D26">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B11B6F">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73298F">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73298F">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D44420">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022FF9">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390174">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D86D26">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D86D26">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w:t>
      </w:r>
      <w:r w:rsidRPr="00BE6065">
        <w:rPr>
          <w:rFonts w:cs="Times New Roman"/>
          <w:lang w:val="en-CA"/>
        </w:rPr>
        <w:t>The Nature Conservancy, Arlington, Virginia</w:t>
      </w:r>
    </w:p>
    <w:p w14:paraId="094D47FE" w14:textId="693911EB" w:rsidR="007B57DB" w:rsidRPr="00BE6065" w:rsidRDefault="007B57DB" w:rsidP="00123D81">
      <w:pPr>
        <w:spacing w:after="0" w:line="480" w:lineRule="auto"/>
        <w:rPr>
          <w:rFonts w:ascii="Times New Roman" w:hAnsi="Times New Roman" w:cs="Times New Roman"/>
          <w:sz w:val="24"/>
          <w:szCs w:val="24"/>
        </w:rPr>
      </w:pPr>
    </w:p>
    <w:p w14:paraId="4D714BEC" w14:textId="21534680" w:rsidR="009721CF" w:rsidRDefault="005D0B50" w:rsidP="00123D81">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pPr>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123D81">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324D4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Curbing biodiversity loss in a rapidly changing global environment is a convoluted race against time. Predicted changes in biological, economic, social, and political systems mean that current conservation investments are risky. However, investing in conservation projects that have high socio-political risk may be the most feasible mechanism to buffer high biodiversity against future change. As climate change and land-cover change continue to intensify 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cost nor do they address sources of risk such as political instability and corruption; weak governance; systemic crisis; the probability of project failure; climate change; and projected land use change.  Here we outline the elements of risk 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123D81">
      <w:pPr>
        <w:spacing w:after="0" w:line="480" w:lineRule="auto"/>
        <w:rPr>
          <w:rFonts w:ascii="Times New Roman" w:hAnsi="Times New Roman" w:cs="Times New Roman"/>
          <w:sz w:val="24"/>
          <w:szCs w:val="24"/>
        </w:rPr>
      </w:pPr>
    </w:p>
    <w:p w14:paraId="797424CB" w14:textId="77777777" w:rsidR="00FE2920" w:rsidRDefault="00FE2920">
      <w:pPr>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Default="00D56A32" w:rsidP="00123D81">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Main text</w:t>
      </w:r>
      <w:commentRangeEnd w:id="1"/>
      <w:r w:rsidR="00E3385D">
        <w:rPr>
          <w:rStyle w:val="CommentReference"/>
        </w:rPr>
        <w:commentReference w:id="1"/>
      </w:r>
    </w:p>
    <w:p w14:paraId="2F9B51BC" w14:textId="77777777" w:rsidR="00DC486E" w:rsidRDefault="00DC486E" w:rsidP="00DC486E">
      <w:pPr>
        <w:spacing w:before="240" w:after="0" w:line="480" w:lineRule="auto"/>
        <w:ind w:firstLine="720"/>
        <w:rPr>
          <w:rFonts w:ascii="Times New Roman" w:eastAsia="Times New Roman" w:hAnsi="Times New Roman" w:cs="Times New Roman"/>
          <w:color w:val="000000"/>
          <w:sz w:val="24"/>
          <w:szCs w:val="24"/>
        </w:rPr>
      </w:pPr>
      <w:commentRangeStart w:id="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DC486E">
      <w:pPr>
        <w:spacing w:before="240" w:after="0" w:line="480" w:lineRule="auto"/>
        <w:rPr>
          <w:rFonts w:ascii="Times New Roman" w:eastAsia="Times New Roman" w:hAnsi="Times New Roman" w:cs="Times New Roman"/>
          <w:sz w:val="24"/>
          <w:szCs w:val="24"/>
        </w:rPr>
      </w:pPr>
      <w:bookmarkStart w:id="3" w:name="_heading=h.gjdgxs" w:colFirst="0" w:colLast="0"/>
      <w:bookmarkEnd w:id="3"/>
    </w:p>
    <w:sdt>
      <w:sdtPr>
        <w:tag w:val="goog_rdk_1"/>
        <w:id w:val="-143594864"/>
      </w:sdtPr>
      <w:sdtContent>
        <w:p w14:paraId="0791DA70" w14:textId="77777777" w:rsidR="00DC486E" w:rsidRDefault="00DC486E" w:rsidP="00DC486E">
          <w:pPr>
            <w:spacing w:before="240" w:after="0" w:line="480" w:lineRule="auto"/>
            <w:rPr>
              <w:ins w:id="4"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Content>
              <w:ins w:id="5"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p>
      </w:sdtContent>
    </w:sdt>
    <w:p w14:paraId="0175B210"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Content>
          <w:ins w:id="6"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DC486E">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Content>
        <w:p w14:paraId="7DA8C876" w14:textId="77777777" w:rsidR="00DC486E" w:rsidRDefault="00DC486E" w:rsidP="00DC486E">
          <w:pPr>
            <w:spacing w:after="0" w:line="240" w:lineRule="auto"/>
            <w:rPr>
              <w:ins w:id="7" w:author="Rachel Buxton" w:date="2019-11-14T13:06:00Z"/>
              <w:rFonts w:ascii="Times New Roman" w:eastAsia="Times New Roman" w:hAnsi="Times New Roman" w:cs="Times New Roman"/>
              <w:color w:val="000000"/>
              <w:sz w:val="24"/>
              <w:szCs w:val="24"/>
            </w:rPr>
          </w:pPr>
          <w:sdt>
            <w:sdtPr>
              <w:tag w:val="goog_rdk_4"/>
              <w:id w:val="674537160"/>
            </w:sdtPr>
            <w:sdtContent>
              <w:ins w:id="8" w:author="Rachel Buxton" w:date="2019-11-14T13:06:00Z">
                <w:r>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Content>
        <w:p w14:paraId="4F1F6053" w14:textId="77777777" w:rsidR="00DC486E" w:rsidRDefault="00DC486E" w:rsidP="00DC486E">
          <w:pPr>
            <w:spacing w:after="0" w:line="240" w:lineRule="auto"/>
            <w:rPr>
              <w:ins w:id="9" w:author="Rachel Buxton" w:date="2019-11-14T13:06:00Z"/>
              <w:rFonts w:ascii="Times New Roman" w:eastAsia="Times New Roman" w:hAnsi="Times New Roman" w:cs="Times New Roman"/>
              <w:color w:val="000000"/>
              <w:sz w:val="24"/>
              <w:szCs w:val="24"/>
            </w:rPr>
          </w:pPr>
          <w:sdt>
            <w:sdtPr>
              <w:tag w:val="goog_rdk_6"/>
              <w:id w:val="-943459394"/>
            </w:sdtPr>
            <w:sdtContent/>
          </w:sdt>
        </w:p>
      </w:sdtContent>
    </w:sdt>
    <w:sdt>
      <w:sdtPr>
        <w:tag w:val="goog_rdk_11"/>
        <w:id w:val="1857074523"/>
      </w:sdtPr>
      <w:sdtContent>
        <w:p w14:paraId="01BF1F5B" w14:textId="77777777" w:rsidR="00DC486E" w:rsidRDefault="00DC486E" w:rsidP="00DC486E">
          <w:pPr>
            <w:spacing w:after="0" w:line="240" w:lineRule="auto"/>
            <w:rPr>
              <w:ins w:id="10" w:author="Rachel Buxton" w:date="2019-11-27T14:59:00Z"/>
              <w:rFonts w:ascii="Times New Roman" w:eastAsia="Times New Roman" w:hAnsi="Times New Roman" w:cs="Times New Roman"/>
              <w:sz w:val="24"/>
              <w:szCs w:val="24"/>
            </w:rPr>
          </w:pPr>
          <w:sdt>
            <w:sdtPr>
              <w:tag w:val="goog_rdk_8"/>
              <w:id w:val="918060269"/>
            </w:sdtPr>
            <w:sdtContent>
              <w:ins w:id="11" w:author="Rachel Buxton" w:date="2019-11-14T13:06:00Z">
                <w:r>
                  <w:rPr>
                    <w:rFonts w:ascii="Times New Roman" w:eastAsia="Times New Roman" w:hAnsi="Times New Roman" w:cs="Times New Roman"/>
                    <w:color w:val="000000"/>
                    <w:sz w:val="24"/>
                    <w:szCs w:val="24"/>
                  </w:rPr>
                  <w:t>Framework to account for risk of change</w:t>
                </w:r>
              </w:ins>
            </w:sdtContent>
          </w:sdt>
          <w:sdt>
            <w:sdtPr>
              <w:tag w:val="goog_rdk_9"/>
              <w:id w:val="-465886541"/>
            </w:sdtPr>
            <w:sdtContent>
              <w:del w:id="12" w:author="Rachel Buxton" w:date="2019-11-14T13:06:00Z">
                <w:r>
                  <w:rPr>
                    <w:rFonts w:ascii="Times New Roman" w:eastAsia="Times New Roman" w:hAnsi="Times New Roman" w:cs="Times New Roman"/>
                    <w:color w:val="000000"/>
                    <w:sz w:val="24"/>
                    <w:szCs w:val="24"/>
                  </w:rPr>
                  <w:br/>
                </w:r>
              </w:del>
            </w:sdtContent>
          </w:sdt>
          <w:sdt>
            <w:sdtPr>
              <w:tag w:val="goog_rdk_10"/>
              <w:id w:val="-1929183124"/>
            </w:sdtPr>
            <w:sdtContent/>
          </w:sdt>
        </w:p>
      </w:sdtContent>
    </w:sdt>
    <w:p w14:paraId="1C229950" w14:textId="77777777" w:rsidR="00DC486E" w:rsidRDefault="00DC486E" w:rsidP="00DC486E">
      <w:pPr>
        <w:spacing w:after="0" w:line="240" w:lineRule="auto"/>
        <w:rPr>
          <w:rFonts w:ascii="Times New Roman" w:eastAsia="Times New Roman" w:hAnsi="Times New Roman" w:cs="Times New Roman"/>
          <w:sz w:val="24"/>
          <w:szCs w:val="24"/>
        </w:rPr>
      </w:pPr>
      <w:sdt>
        <w:sdtPr>
          <w:tag w:val="goog_rdk_12"/>
          <w:id w:val="-850101094"/>
        </w:sdtPr>
        <w:sdtContent>
          <w:ins w:id="13" w:author="Rachel Buxton" w:date="2019-11-27T14:59:00Z">
            <w:r>
              <w:t>We might aim to set conservation priorities that are robust to risk and uncertainty (</w:t>
            </w:r>
            <w:proofErr w:type="spellStart"/>
            <w:r>
              <w:t>BenHaim</w:t>
            </w:r>
            <w:proofErr w:type="spellEnd"/>
            <w:r>
              <w:t xml:space="preserve"> 2001; Nicholson and </w:t>
            </w:r>
            <w:proofErr w:type="spellStart"/>
            <w:r>
              <w:t>Possingham</w:t>
            </w:r>
            <w:proofErr w:type="spellEnd"/>
            <w:r>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t>off )</w:t>
            </w:r>
            <w:proofErr w:type="gramEnd"/>
            <w:r>
              <w:t xml:space="preserve"> (Game et al. 2008), or prioritize actions that maximize the expected or likely conservation benefits for a fixed budget (Joseph et al. In Press-b). Note that these solutions represent modifications of Equations (1) and (2), respectively.</w:t>
            </w:r>
          </w:ins>
        </w:sdtContent>
      </w:sdt>
      <w:commentRangeEnd w:id="2"/>
      <w:r>
        <w:rPr>
          <w:rStyle w:val="CommentReference"/>
        </w:rPr>
        <w:commentReference w:id="2"/>
      </w:r>
    </w:p>
    <w:p w14:paraId="51273B13" w14:textId="76604ED4" w:rsidR="00357294" w:rsidRDefault="00DC486E" w:rsidP="00DC486E">
      <w:pPr>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Main references</w:t>
      </w:r>
    </w:p>
    <w:p w14:paraId="44C56066" w14:textId="77777777" w:rsidR="00D203D9" w:rsidRPr="00D203D9" w:rsidRDefault="00FD4603" w:rsidP="00D203D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D203D9" w:rsidRPr="00D203D9">
        <w:rPr>
          <w:rFonts w:ascii="Times New Roman" w:hAnsi="Times New Roman" w:cs="Times New Roman"/>
          <w:sz w:val="24"/>
        </w:rPr>
        <w:t>Baynham</w:t>
      </w:r>
      <w:proofErr w:type="spellEnd"/>
      <w:r w:rsidR="00D203D9" w:rsidRPr="00D203D9">
        <w:rPr>
          <w:rFonts w:ascii="Times New Roman" w:hAnsi="Times New Roman" w:cs="Times New Roman"/>
          <w:sz w:val="24"/>
        </w:rPr>
        <w:t xml:space="preserve">-Herd,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Garcia, R.A., Cabeza, M., </w:t>
      </w:r>
      <w:proofErr w:type="spellStart"/>
      <w:r w:rsidRPr="00D203D9">
        <w:rPr>
          <w:rFonts w:ascii="Times New Roman" w:hAnsi="Times New Roman" w:cs="Times New Roman"/>
          <w:sz w:val="24"/>
        </w:rPr>
        <w:t>Rahbek</w:t>
      </w:r>
      <w:proofErr w:type="spellEnd"/>
      <w:r w:rsidRPr="00D203D9">
        <w:rPr>
          <w:rFonts w:ascii="Times New Roman" w:hAnsi="Times New Roman" w:cs="Times New Roman"/>
          <w:sz w:val="24"/>
        </w:rPr>
        <w:t xml:space="preserve">,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D203D9">
      <w:pPr>
        <w:pStyle w:val="Bibliography"/>
        <w:rPr>
          <w:rFonts w:ascii="Times New Roman" w:hAnsi="Times New Roman" w:cs="Times New Roman"/>
          <w:sz w:val="24"/>
        </w:rPr>
      </w:pPr>
      <w:proofErr w:type="spellStart"/>
      <w:r w:rsidRPr="00D203D9">
        <w:rPr>
          <w:rFonts w:ascii="Times New Roman" w:hAnsi="Times New Roman" w:cs="Times New Roman"/>
          <w:sz w:val="24"/>
        </w:rPr>
        <w:t>Pouzols</w:t>
      </w:r>
      <w:proofErr w:type="spellEnd"/>
      <w:r w:rsidRPr="00D203D9">
        <w:rPr>
          <w:rFonts w:ascii="Times New Roman" w:hAnsi="Times New Roman" w:cs="Times New Roman"/>
          <w:sz w:val="24"/>
        </w:rPr>
        <w:t xml:space="preserve">, F.M., </w:t>
      </w:r>
      <w:proofErr w:type="spellStart"/>
      <w:r w:rsidRPr="00D203D9">
        <w:rPr>
          <w:rFonts w:ascii="Times New Roman" w:hAnsi="Times New Roman" w:cs="Times New Roman"/>
          <w:sz w:val="24"/>
        </w:rPr>
        <w:t>Toivonen</w:t>
      </w:r>
      <w:proofErr w:type="spellEnd"/>
      <w:r w:rsidRPr="00D203D9">
        <w:rPr>
          <w:rFonts w:ascii="Times New Roman" w:hAnsi="Times New Roman" w:cs="Times New Roman"/>
          <w:sz w:val="24"/>
        </w:rPr>
        <w:t xml:space="preserve">, T., Di </w:t>
      </w:r>
      <w:proofErr w:type="spellStart"/>
      <w:r w:rsidRPr="00D203D9">
        <w:rPr>
          <w:rFonts w:ascii="Times New Roman" w:hAnsi="Times New Roman" w:cs="Times New Roman"/>
          <w:sz w:val="24"/>
        </w:rPr>
        <w:t>Minin</w:t>
      </w:r>
      <w:proofErr w:type="spellEnd"/>
      <w:r w:rsidRPr="00D203D9">
        <w:rPr>
          <w:rFonts w:ascii="Times New Roman" w:hAnsi="Times New Roman" w:cs="Times New Roman"/>
          <w:sz w:val="24"/>
        </w:rPr>
        <w:t xml:space="preserve">, E., </w:t>
      </w:r>
      <w:proofErr w:type="spellStart"/>
      <w:r w:rsidRPr="00D203D9">
        <w:rPr>
          <w:rFonts w:ascii="Times New Roman" w:hAnsi="Times New Roman" w:cs="Times New Roman"/>
          <w:sz w:val="24"/>
        </w:rPr>
        <w:t>Kukkala</w:t>
      </w:r>
      <w:proofErr w:type="spellEnd"/>
      <w:r w:rsidRPr="00D203D9">
        <w:rPr>
          <w:rFonts w:ascii="Times New Roman" w:hAnsi="Times New Roman" w:cs="Times New Roman"/>
          <w:sz w:val="24"/>
        </w:rPr>
        <w:t xml:space="preserve">, A.S., Kullberg, P., </w:t>
      </w:r>
      <w:proofErr w:type="spellStart"/>
      <w:r w:rsidRPr="00D203D9">
        <w:rPr>
          <w:rFonts w:ascii="Times New Roman" w:hAnsi="Times New Roman" w:cs="Times New Roman"/>
          <w:sz w:val="24"/>
        </w:rPr>
        <w:t>Kuusterä</w:t>
      </w:r>
      <w:proofErr w:type="spellEnd"/>
      <w:r w:rsidRPr="00D203D9">
        <w:rPr>
          <w:rFonts w:ascii="Times New Roman" w:hAnsi="Times New Roman" w:cs="Times New Roman"/>
          <w:sz w:val="24"/>
        </w:rPr>
        <w:t xml:space="preserve">, J., </w:t>
      </w:r>
      <w:proofErr w:type="spellStart"/>
      <w:r w:rsidRPr="00D203D9">
        <w:rPr>
          <w:rFonts w:ascii="Times New Roman" w:hAnsi="Times New Roman" w:cs="Times New Roman"/>
          <w:sz w:val="24"/>
        </w:rPr>
        <w:t>Lehtomäki</w:t>
      </w:r>
      <w:proofErr w:type="spellEnd"/>
      <w:r w:rsidRPr="00D203D9">
        <w:rPr>
          <w:rFonts w:ascii="Times New Roman" w:hAnsi="Times New Roman" w:cs="Times New Roman"/>
          <w:sz w:val="24"/>
        </w:rPr>
        <w:t xml:space="preserve">, J., </w:t>
      </w:r>
      <w:proofErr w:type="spellStart"/>
      <w:r w:rsidRPr="00D203D9">
        <w:rPr>
          <w:rFonts w:ascii="Times New Roman" w:hAnsi="Times New Roman" w:cs="Times New Roman"/>
          <w:sz w:val="24"/>
        </w:rPr>
        <w:t>Tenkanen</w:t>
      </w:r>
      <w:proofErr w:type="spellEnd"/>
      <w:r w:rsidRPr="00D203D9">
        <w:rPr>
          <w:rFonts w:ascii="Times New Roman" w:hAnsi="Times New Roman" w:cs="Times New Roman"/>
          <w:sz w:val="24"/>
        </w:rPr>
        <w:t xml:space="preserve">, H., </w:t>
      </w:r>
      <w:proofErr w:type="spellStart"/>
      <w:r w:rsidRPr="00D203D9">
        <w:rPr>
          <w:rFonts w:ascii="Times New Roman" w:hAnsi="Times New Roman" w:cs="Times New Roman"/>
          <w:sz w:val="24"/>
        </w:rPr>
        <w:t>Verburg</w:t>
      </w:r>
      <w:proofErr w:type="spellEnd"/>
      <w:r w:rsidRPr="00D203D9">
        <w:rPr>
          <w:rFonts w:ascii="Times New Roman" w:hAnsi="Times New Roman" w:cs="Times New Roman"/>
          <w:sz w:val="24"/>
        </w:rPr>
        <w:t xml:space="preserve">, P.H. &amp; </w:t>
      </w:r>
      <w:proofErr w:type="spellStart"/>
      <w:r w:rsidRPr="00D203D9">
        <w:rPr>
          <w:rFonts w:ascii="Times New Roman" w:hAnsi="Times New Roman" w:cs="Times New Roman"/>
          <w:sz w:val="24"/>
        </w:rPr>
        <w:t>Moilanen</w:t>
      </w:r>
      <w:proofErr w:type="spellEnd"/>
      <w:r w:rsidRPr="00D203D9">
        <w:rPr>
          <w:rFonts w:ascii="Times New Roman" w:hAnsi="Times New Roman" w:cs="Times New Roman"/>
          <w:sz w:val="24"/>
        </w:rPr>
        <w:t xml:space="preserve">,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Le </w:t>
      </w:r>
      <w:proofErr w:type="spellStart"/>
      <w:r w:rsidRPr="00D203D9">
        <w:rPr>
          <w:rFonts w:ascii="Times New Roman" w:hAnsi="Times New Roman" w:cs="Times New Roman"/>
          <w:sz w:val="24"/>
        </w:rPr>
        <w:t>Saout</w:t>
      </w:r>
      <w:proofErr w:type="spellEnd"/>
      <w:r w:rsidRPr="00D203D9">
        <w:rPr>
          <w:rFonts w:ascii="Times New Roman" w:hAnsi="Times New Roman" w:cs="Times New Roman"/>
          <w:sz w:val="24"/>
        </w:rPr>
        <w:t xml:space="preserve">, S., Hoffmann, M., Shi, Y., Hughes, A., Bernard, C., Brooks, T.M., </w:t>
      </w:r>
      <w:proofErr w:type="spellStart"/>
      <w:r w:rsidRPr="00D203D9">
        <w:rPr>
          <w:rFonts w:ascii="Times New Roman" w:hAnsi="Times New Roman" w:cs="Times New Roman"/>
          <w:sz w:val="24"/>
        </w:rPr>
        <w:t>Bertzky</w:t>
      </w:r>
      <w:proofErr w:type="spellEnd"/>
      <w:r w:rsidRPr="00D203D9">
        <w:rPr>
          <w:rFonts w:ascii="Times New Roman" w:hAnsi="Times New Roman" w:cs="Times New Roman"/>
          <w:sz w:val="24"/>
        </w:rPr>
        <w:t xml:space="preserve">,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D203D9">
      <w:pPr>
        <w:pStyle w:val="Bibliography"/>
        <w:rPr>
          <w:rFonts w:ascii="Times New Roman" w:hAnsi="Times New Roman" w:cs="Times New Roman"/>
          <w:sz w:val="24"/>
        </w:rPr>
      </w:pPr>
      <w:r w:rsidRPr="00D203D9">
        <w:rPr>
          <w:rFonts w:ascii="Times New Roman" w:hAnsi="Times New Roman" w:cs="Times New Roman"/>
          <w:sz w:val="24"/>
        </w:rPr>
        <w:t xml:space="preserve">Venter, O., Fuller, R.A., </w:t>
      </w:r>
      <w:proofErr w:type="spellStart"/>
      <w:r w:rsidRPr="00D203D9">
        <w:rPr>
          <w:rFonts w:ascii="Times New Roman" w:hAnsi="Times New Roman" w:cs="Times New Roman"/>
          <w:sz w:val="24"/>
        </w:rPr>
        <w:t>Segan</w:t>
      </w:r>
      <w:proofErr w:type="spellEnd"/>
      <w:r w:rsidRPr="00D203D9">
        <w:rPr>
          <w:rFonts w:ascii="Times New Roman" w:hAnsi="Times New Roman" w:cs="Times New Roman"/>
          <w:sz w:val="24"/>
        </w:rPr>
        <w:t xml:space="preserve">, D.B., </w:t>
      </w:r>
      <w:proofErr w:type="spellStart"/>
      <w:r w:rsidRPr="00D203D9">
        <w:rPr>
          <w:rFonts w:ascii="Times New Roman" w:hAnsi="Times New Roman" w:cs="Times New Roman"/>
          <w:sz w:val="24"/>
        </w:rPr>
        <w:t>Carwardine</w:t>
      </w:r>
      <w:proofErr w:type="spellEnd"/>
      <w:r w:rsidRPr="00D203D9">
        <w:rPr>
          <w:rFonts w:ascii="Times New Roman" w:hAnsi="Times New Roman" w:cs="Times New Roman"/>
          <w:sz w:val="24"/>
        </w:rPr>
        <w:t xml:space="preserve">, J., Brooks, T., Butchart, S.H.M., Di Marco, M., </w:t>
      </w:r>
      <w:proofErr w:type="spellStart"/>
      <w:r w:rsidRPr="00D203D9">
        <w:rPr>
          <w:rFonts w:ascii="Times New Roman" w:hAnsi="Times New Roman" w:cs="Times New Roman"/>
          <w:sz w:val="24"/>
        </w:rPr>
        <w:t>Iwamura</w:t>
      </w:r>
      <w:proofErr w:type="spellEnd"/>
      <w:r w:rsidRPr="00D203D9">
        <w:rPr>
          <w:rFonts w:ascii="Times New Roman" w:hAnsi="Times New Roman" w:cs="Times New Roman"/>
          <w:sz w:val="24"/>
        </w:rPr>
        <w:t xml:space="preserve">, T., Joseph, L., O’Grady, D., </w:t>
      </w:r>
      <w:proofErr w:type="spellStart"/>
      <w:r w:rsidRPr="00D203D9">
        <w:rPr>
          <w:rFonts w:ascii="Times New Roman" w:hAnsi="Times New Roman" w:cs="Times New Roman"/>
          <w:sz w:val="24"/>
        </w:rPr>
        <w:t>Possingham</w:t>
      </w:r>
      <w:proofErr w:type="spellEnd"/>
      <w:r w:rsidRPr="00D203D9">
        <w:rPr>
          <w:rFonts w:ascii="Times New Roman" w:hAnsi="Times New Roman" w:cs="Times New Roman"/>
          <w:sz w:val="24"/>
        </w:rPr>
        <w:t xml:space="preserve">, H.P., </w:t>
      </w:r>
      <w:proofErr w:type="spellStart"/>
      <w:r w:rsidRPr="00D203D9">
        <w:rPr>
          <w:rFonts w:ascii="Times New Roman" w:hAnsi="Times New Roman" w:cs="Times New Roman"/>
          <w:sz w:val="24"/>
        </w:rPr>
        <w:t>Rondinini</w:t>
      </w:r>
      <w:proofErr w:type="spellEnd"/>
      <w:r w:rsidRPr="00D203D9">
        <w:rPr>
          <w:rFonts w:ascii="Times New Roman" w:hAnsi="Times New Roman" w:cs="Times New Roman"/>
          <w:sz w:val="24"/>
        </w:rPr>
        <w:t xml:space="preserve">,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pPr>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Tables</w:t>
      </w:r>
    </w:p>
    <w:p w14:paraId="355A86C5" w14:textId="77777777" w:rsidR="00357294" w:rsidRDefault="00357294">
      <w:pPr>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r w:rsidR="001B4364">
        <w:rPr>
          <w:rFonts w:ascii="Times New Roman" w:hAnsi="Times New Roman" w:cs="Times New Roman"/>
          <w:sz w:val="24"/>
          <w:szCs w:val="24"/>
        </w:rPr>
        <w:t xml:space="preserve"> (+ figures</w:t>
      </w:r>
      <w:r w:rsidR="00234FAF">
        <w:rPr>
          <w:rFonts w:ascii="Times New Roman" w:hAnsi="Times New Roman" w:cs="Times New Roman"/>
          <w:sz w:val="24"/>
          <w:szCs w:val="24"/>
        </w:rPr>
        <w:t>)</w:t>
      </w:r>
    </w:p>
    <w:p w14:paraId="2D743B8E" w14:textId="77777777" w:rsidR="005D4502" w:rsidRDefault="005D4502">
      <w:pPr>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Methods</w:t>
      </w:r>
    </w:p>
    <w:p w14:paraId="2A2B64AD" w14:textId="3CDD5001" w:rsidR="005238D0" w:rsidRDefault="005238D0" w:rsidP="005238D0">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CC38D3">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9" w:history="1">
        <w:r w:rsidRPr="00FC3DD7">
          <w:rPr>
            <w:rStyle w:val="Hyperlink0"/>
            <w:rFonts w:cs="Times New Roman"/>
            <w:lang w:val="en-CA"/>
          </w:rPr>
          <w:t>http://www.iucnredlist.org/</w:t>
        </w:r>
      </w:hyperlink>
      <w:r w:rsidRPr="00FC3DD7">
        <w:rPr>
          <w:rFonts w:cs="Times New Roman"/>
          <w:lang w:val="en-CA"/>
        </w:rPr>
        <w:t xml:space="preserve">, accessed 2016-09-14)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0" w:history="1">
        <w:r w:rsidRPr="00FC3DD7">
          <w:rPr>
            <w:rStyle w:val="Hyperlink1"/>
            <w:rFonts w:cs="Times New Roman"/>
            <w:lang w:val="en-CA"/>
          </w:rPr>
          <w:t>http://www.birdlife.org/datazone/home</w:t>
        </w:r>
      </w:hyperlink>
      <w:r w:rsidRPr="00FC3DD7">
        <w:rPr>
          <w:rFonts w:cs="Times New Roman"/>
          <w:lang w:val="en-CA"/>
        </w:rPr>
        <w:t>, accessed 2016-09-14).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w:t>
      </w:r>
      <w:proofErr w:type="spellStart"/>
      <w:r w:rsidR="00FD4603" w:rsidRPr="00FD4603">
        <w:rPr>
          <w:rFonts w:cs="Times New Roman"/>
        </w:rPr>
        <w:t>Pouzols</w:t>
      </w:r>
      <w:proofErr w:type="spellEnd"/>
      <w:r w:rsidR="00FD4603" w:rsidRPr="00FD4603">
        <w:rPr>
          <w:rFonts w:cs="Times New Roman"/>
        </w:rPr>
        <w:t xml:space="preserve">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 xml:space="preserve">(Le </w:t>
      </w:r>
      <w:proofErr w:type="spellStart"/>
      <w:r w:rsidR="00FD4603" w:rsidRPr="00FD4603">
        <w:rPr>
          <w:rFonts w:cs="Times New Roman"/>
        </w:rPr>
        <w:t>Saout</w:t>
      </w:r>
      <w:proofErr w:type="spellEnd"/>
      <w:r w:rsidR="00FD4603" w:rsidRPr="00FD4603">
        <w:rPr>
          <w:rFonts w:cs="Times New Roman"/>
        </w:rPr>
        <w:t xml:space="preserve">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77777777" w:rsidR="00CC38D3" w:rsidRPr="00FC3DD7" w:rsidRDefault="00CC38D3" w:rsidP="00CC38D3">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14" w:name="_Hlk7000483"/>
      <w:r>
        <w:rPr>
          <w:rFonts w:cs="Times New Roman"/>
          <w:lang w:val="en-CA"/>
        </w:rPr>
        <w:t>, thus only focusing on stationary periods of the life cycle of migratory species</w:t>
      </w:r>
      <w:bookmarkEnd w:id="14"/>
      <w:r w:rsidRPr="00FC3DD7">
        <w:rPr>
          <w:rFonts w:cs="Times New Roman"/>
          <w:lang w:val="en-CA"/>
        </w:rPr>
        <w:t>. For each country, we first selected each IUCN polygon that intersected its national border and subsequently clipped each polygon by that border.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 per country: 219, 736, 270, 178 (Australia); 909, 1748, 621, 160 (Brazil); 50, 443, 157, 41 (Canada). In addition to analysing all species, we also analyzed threatened species only. All species with an IUCN status of ‘critically endangered’, ‘endangered’ and ‘vulnerable’ were assigned to the threatened category.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threatened </w:t>
      </w:r>
      <w:r w:rsidRPr="00FC3DD7">
        <w:rPr>
          <w:rFonts w:cs="Times New Roman"/>
          <w:lang w:val="en-CA"/>
        </w:rPr>
        <w:lastRenderedPageBreak/>
        <w:t xml:space="preserve">species of amphibians, birds, mammals and reptiles per country: 48, 57, 53, 17 (Australia); 36, 159, 78, 20 (Brazil); 1, 14, 6, 9 (Canada).  </w:t>
      </w:r>
    </w:p>
    <w:p w14:paraId="1153015F" w14:textId="77777777" w:rsidR="00417AB4" w:rsidRPr="00CC38D3" w:rsidRDefault="00417AB4" w:rsidP="005238D0">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pPr>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480094D0" w14:textId="77777777" w:rsidR="0053094B" w:rsidRPr="00065CFE" w:rsidRDefault="0053094B" w:rsidP="00065CFE">
      <w:pPr>
        <w:pStyle w:val="Body"/>
        <w:spacing w:line="480" w:lineRule="auto"/>
        <w:ind w:firstLine="720"/>
        <w:rPr>
          <w:rFonts w:cs="Times New Roman"/>
          <w:lang w:val="en-CA"/>
        </w:rPr>
      </w:pPr>
      <w:r w:rsidRPr="00065CFE">
        <w:rPr>
          <w:rFonts w:cs="Times New Roman"/>
          <w:lang w:val="en-CA"/>
        </w:rPr>
        <w:t>National boundaries were derived from the Global Administrative Areas database (</w:t>
      </w:r>
      <w:hyperlink r:id="rId11" w:history="1">
        <w:r w:rsidRPr="00065CFE">
          <w:rPr>
            <w:rStyle w:val="Hyperlink0"/>
            <w:rFonts w:cs="Times New Roman"/>
            <w:lang w:val="en-CA"/>
          </w:rPr>
          <w:t>http://gadm.org/</w:t>
        </w:r>
      </w:hyperlink>
      <w:r w:rsidRPr="00065CFE">
        <w:rPr>
          <w:rFonts w:cs="Times New Roman"/>
          <w:lang w:val="en-CA"/>
        </w:rPr>
        <w:t>, accessed 2015-10-10). The data on protected areas was based on the September 2016 release of the World Database on Protected Areas (WDPA,</w:t>
      </w:r>
      <w:r w:rsidRPr="00065CFE">
        <w:rPr>
          <w:rFonts w:cs="Times New Roman"/>
        </w:rPr>
        <w:t xml:space="preserve"> </w:t>
      </w:r>
      <w:r w:rsidRPr="00065CFE">
        <w:rPr>
          <w:rFonts w:cs="Times New Roman"/>
          <w:lang w:val="en-CA"/>
        </w:rPr>
        <w:t xml:space="preserve">https://www.protectedplanet.net). </w:t>
      </w:r>
    </w:p>
    <w:p w14:paraId="1CD2D835" w14:textId="5959D9F6" w:rsidR="0053094B" w:rsidRPr="00065CFE" w:rsidRDefault="0053094B" w:rsidP="00065CFE">
      <w:pPr>
        <w:spacing w:line="480" w:lineRule="auto"/>
        <w:rPr>
          <w:rFonts w:ascii="Times New Roman" w:hAnsi="Times New Roman" w:cs="Times New Roman"/>
          <w:i/>
          <w:iCs/>
          <w:sz w:val="24"/>
          <w:szCs w:val="24"/>
        </w:rPr>
      </w:pPr>
      <w:r w:rsidRPr="00065CFE">
        <w:rPr>
          <w:rFonts w:ascii="Times New Roman" w:hAnsi="Times New Roman" w:cs="Times New Roman"/>
          <w:sz w:val="24"/>
          <w:szCs w:val="24"/>
        </w:rPr>
        <w:t>We extracted the protected areas for each country from the WDPA database by selecting only areas belonging to IUCN protected area categories I–VI and having as status ‘designated’. This resulted in totals of 7740, 1117 and 6764 protected areas for Australia, Brazil and Canada respectively.</w:t>
      </w:r>
    </w:p>
    <w:p w14:paraId="4CFA1429" w14:textId="77777777" w:rsidR="0053094B" w:rsidRDefault="0053094B">
      <w:pPr>
        <w:rPr>
          <w:rFonts w:ascii="Times New Roman" w:hAnsi="Times New Roman" w:cs="Times New Roman"/>
          <w:i/>
          <w:iCs/>
          <w:sz w:val="24"/>
          <w:szCs w:val="24"/>
        </w:rPr>
      </w:pPr>
    </w:p>
    <w:p w14:paraId="7BEDD319" w14:textId="7B1495FD" w:rsidR="00D31BD2" w:rsidRDefault="00D31BD2">
      <w:pPr>
        <w:rPr>
          <w:rFonts w:ascii="Times New Roman" w:hAnsi="Times New Roman" w:cs="Times New Roman"/>
          <w:i/>
          <w:iCs/>
          <w:sz w:val="24"/>
          <w:szCs w:val="24"/>
        </w:rPr>
      </w:pPr>
      <w:r>
        <w:rPr>
          <w:rFonts w:ascii="Times New Roman" w:hAnsi="Times New Roman" w:cs="Times New Roman"/>
          <w:i/>
          <w:iCs/>
          <w:sz w:val="24"/>
          <w:szCs w:val="24"/>
        </w:rPr>
        <w:t>Socioeconomic risk</w:t>
      </w:r>
    </w:p>
    <w:p w14:paraId="5FCB11EE" w14:textId="1945462E" w:rsidR="00A0557E" w:rsidRDefault="009B70B2">
      <w:pPr>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w:t>
      </w:r>
      <w:proofErr w:type="spellStart"/>
      <w:r w:rsidRPr="009B70B2">
        <w:rPr>
          <w:rFonts w:ascii="Times New Roman" w:hAnsi="Times New Roman" w:cs="Times New Roman"/>
          <w:sz w:val="24"/>
        </w:rPr>
        <w:t>Baynham</w:t>
      </w:r>
      <w:proofErr w:type="spellEnd"/>
      <w:r w:rsidRPr="009B70B2">
        <w:rPr>
          <w:rFonts w:ascii="Times New Roman" w:hAnsi="Times New Roman" w:cs="Times New Roman"/>
          <w:sz w:val="24"/>
        </w:rPr>
        <w:t>-Herd et al. 2018)</w:t>
      </w:r>
      <w:r>
        <w:rPr>
          <w:rFonts w:ascii="Times New Roman" w:hAnsi="Times New Roman" w:cs="Times New Roman"/>
          <w:i/>
          <w:iCs/>
          <w:sz w:val="24"/>
          <w:szCs w:val="24"/>
        </w:rPr>
        <w:fldChar w:fldCharType="end"/>
      </w:r>
    </w:p>
    <w:p w14:paraId="11A209C9" w14:textId="3422E376" w:rsidR="00DD2BD4" w:rsidRDefault="004013F1">
      <w:hyperlink r:id="rId12" w:history="1">
        <w:r>
          <w:rPr>
            <w:rStyle w:val="Hyperlink"/>
          </w:rPr>
          <w:t>https://datacatalog.worldbank.org/dataset/worldwide-governance-indicators</w:t>
        </w:r>
      </w:hyperlink>
    </w:p>
    <w:p w14:paraId="397CF4EB" w14:textId="77777777" w:rsidR="004013F1" w:rsidRDefault="004013F1">
      <w:pPr>
        <w:rPr>
          <w:rFonts w:ascii="Times New Roman" w:hAnsi="Times New Roman" w:cs="Times New Roman"/>
          <w:i/>
          <w:iCs/>
          <w:sz w:val="24"/>
          <w:szCs w:val="24"/>
        </w:rPr>
      </w:pPr>
    </w:p>
    <w:p w14:paraId="53675E2F" w14:textId="761960CD" w:rsidR="00D31BD2" w:rsidRDefault="00D31BD2">
      <w:pPr>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150A5D">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lastRenderedPageBreak/>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150A5D">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15"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15"/>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w:t>
      </w:r>
      <w:r>
        <w:rPr>
          <w:rFonts w:ascii="Times New Roman" w:hAnsi="Times New Roman" w:cs="Times New Roman"/>
          <w:color w:val="auto"/>
          <w:lang w:val="en-CA"/>
        </w:rPr>
        <w:lastRenderedPageBreak/>
        <w:t>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150A5D">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6B3519C1" w14:textId="77777777" w:rsidR="00150A5D" w:rsidRDefault="00150A5D" w:rsidP="00150A5D">
      <w:pPr>
        <w:pStyle w:val="Default"/>
        <w:spacing w:line="480" w:lineRule="auto"/>
        <w:rPr>
          <w:rFonts w:ascii="Times New Roman" w:hAnsi="Times New Roman" w:cs="Times New Roman"/>
          <w:color w:val="auto"/>
          <w:lang w:val="en-CA"/>
        </w:rPr>
      </w:pPr>
      <w:r w:rsidRPr="008C2AA1">
        <w:rPr>
          <w:rFonts w:ascii="Times New Roman" w:hAnsi="Times New Roman" w:cs="Times New Roman"/>
          <w:color w:val="auto"/>
          <w:lang w:val="en-CA"/>
        </w:rPr>
        <w:tab/>
        <w:t xml:space="preserve">To examine land-use change projections for each target, we aligned the 20% focal areas with the land cover categories in 2000 and the projected land-cover categories under </w:t>
      </w:r>
      <w:r>
        <w:rPr>
          <w:rFonts w:ascii="Times New Roman" w:hAnsi="Times New Roman" w:cs="Times New Roman"/>
          <w:color w:val="auto"/>
          <w:lang w:val="en-CA"/>
        </w:rPr>
        <w:t xml:space="preserve">the </w:t>
      </w:r>
      <w:r w:rsidRPr="008C2AA1">
        <w:rPr>
          <w:rFonts w:ascii="Times New Roman" w:hAnsi="Times New Roman" w:cs="Times New Roman"/>
          <w:color w:val="auto"/>
          <w:lang w:val="en-CA"/>
        </w:rPr>
        <w:t xml:space="preserve">three SSP scenarios. As a general measure of change in land cover suitability for the Neotropical migrants considered in this analysis, we also identified cases where more suitable land covers containing forest and shrub habitats (i.e., </w:t>
      </w:r>
      <w:r w:rsidRPr="008C2AA1">
        <w:rPr>
          <w:rFonts w:ascii="Times New Roman" w:hAnsi="Times New Roman" w:cs="Times New Roman"/>
          <w:lang w:val="en-CA"/>
        </w:rPr>
        <w:t xml:space="preserve">forest, mosaic forest-grassland, mosaic forest-cropland, peri-urban) were projected to become open agricultural lands or barren lands without woody </w:t>
      </w:r>
      <w:r w:rsidRPr="008C2AA1">
        <w:rPr>
          <w:rFonts w:ascii="Times New Roman" w:hAnsi="Times New Roman" w:cs="Times New Roman"/>
          <w:lang w:val="en-CA"/>
        </w:rPr>
        <w:lastRenderedPageBreak/>
        <w:t>structure (</w:t>
      </w:r>
      <w:r>
        <w:rPr>
          <w:rFonts w:ascii="Times New Roman" w:hAnsi="Times New Roman" w:cs="Times New Roman"/>
          <w:lang w:val="en-CA"/>
        </w:rPr>
        <w:t>grassland-bare, cropland, mosaic cropland-</w:t>
      </w:r>
      <w:r w:rsidRPr="008C2AA1">
        <w:rPr>
          <w:rFonts w:ascii="Times New Roman" w:hAnsi="Times New Roman" w:cs="Times New Roman"/>
          <w:lang w:val="en-CA"/>
        </w:rPr>
        <w:t xml:space="preserve">grassland) under the three SSP scenarios. We excluded land classified as “urban” from </w:t>
      </w:r>
      <w:r>
        <w:rPr>
          <w:rFonts w:ascii="Times New Roman" w:hAnsi="Times New Roman" w:cs="Times New Roman"/>
          <w:lang w:val="en-CA"/>
        </w:rPr>
        <w:t xml:space="preserve">this </w:t>
      </w:r>
      <w:r w:rsidRPr="008C2AA1">
        <w:rPr>
          <w:rFonts w:ascii="Times New Roman" w:hAnsi="Times New Roman" w:cs="Times New Roman"/>
          <w:lang w:val="en-CA"/>
        </w:rPr>
        <w:t xml:space="preserve">analysis because the ability of urban areas to provide habitat to migratory birds is highly variable (e.g., tree cover, green space; </w:t>
      </w:r>
      <w:proofErr w:type="spellStart"/>
      <w:r w:rsidRPr="008C2AA1">
        <w:rPr>
          <w:rFonts w:ascii="Times New Roman" w:hAnsi="Times New Roman" w:cs="Times New Roman"/>
          <w:lang w:val="en-CA"/>
        </w:rPr>
        <w:t>Lepczyk</w:t>
      </w:r>
      <w:proofErr w:type="spellEnd"/>
      <w:r w:rsidRPr="008C2AA1">
        <w:rPr>
          <w:rFonts w:ascii="Times New Roman" w:hAnsi="Times New Roman" w:cs="Times New Roman"/>
          <w:lang w:val="en-CA"/>
        </w:rPr>
        <w:t xml:space="preserve"> et al.</w:t>
      </w:r>
      <w:r>
        <w:rPr>
          <w:rFonts w:ascii="Times New Roman" w:hAnsi="Times New Roman" w:cs="Times New Roman"/>
          <w:lang w:val="en-CA"/>
        </w:rPr>
        <w:t>,</w:t>
      </w:r>
      <w:r w:rsidRPr="008C2AA1">
        <w:rPr>
          <w:rFonts w:ascii="Times New Roman" w:hAnsi="Times New Roman" w:cs="Times New Roman"/>
          <w:lang w:val="en-CA"/>
        </w:rPr>
        <w:t xml:space="preserve"> 2017</w:t>
      </w:r>
      <w:r>
        <w:rPr>
          <w:rFonts w:ascii="Times New Roman" w:hAnsi="Times New Roman" w:cs="Times New Roman"/>
          <w:lang w:val="en-CA"/>
        </w:rPr>
        <w:t xml:space="preserve">; </w:t>
      </w:r>
      <w:r w:rsidRPr="008C2AA1">
        <w:rPr>
          <w:rFonts w:ascii="Times New Roman" w:hAnsi="Times New Roman" w:cs="Times New Roman"/>
          <w:lang w:val="en-CA"/>
        </w:rPr>
        <w:t>Suarez-Rubio et al.</w:t>
      </w:r>
      <w:r>
        <w:rPr>
          <w:rFonts w:ascii="Times New Roman" w:hAnsi="Times New Roman" w:cs="Times New Roman"/>
          <w:lang w:val="en-CA"/>
        </w:rPr>
        <w:t>,</w:t>
      </w:r>
      <w:r w:rsidRPr="008C2AA1">
        <w:rPr>
          <w:rFonts w:ascii="Times New Roman" w:hAnsi="Times New Roman" w:cs="Times New Roman"/>
          <w:lang w:val="en-CA"/>
        </w:rPr>
        <w:t xml:space="preserve"> 2013) and urban land comprised only a small proportion of land within our focal areas under all SSP scenarios.</w:t>
      </w:r>
      <w:r>
        <w:rPr>
          <w:rFonts w:ascii="Times New Roman" w:hAnsi="Times New Roman" w:cs="Times New Roman"/>
          <w:lang w:val="en-CA"/>
        </w:rPr>
        <w:t xml:space="preserve">  </w:t>
      </w:r>
    </w:p>
    <w:p w14:paraId="46A3856B" w14:textId="77777777" w:rsidR="00150A5D" w:rsidRDefault="00150A5D">
      <w:pPr>
        <w:rPr>
          <w:rFonts w:ascii="Times New Roman" w:hAnsi="Times New Roman" w:cs="Times New Roman"/>
          <w:i/>
          <w:iCs/>
          <w:sz w:val="24"/>
          <w:szCs w:val="24"/>
        </w:rPr>
      </w:pPr>
    </w:p>
    <w:p w14:paraId="0AEF4437" w14:textId="13F15AF1" w:rsidR="00D31BD2" w:rsidRDefault="00D31BD2">
      <w:pPr>
        <w:rPr>
          <w:rFonts w:ascii="Times New Roman" w:hAnsi="Times New Roman" w:cs="Times New Roman"/>
          <w:i/>
          <w:iCs/>
          <w:sz w:val="24"/>
          <w:szCs w:val="24"/>
        </w:rPr>
      </w:pPr>
      <w:r>
        <w:rPr>
          <w:rFonts w:ascii="Times New Roman" w:hAnsi="Times New Roman" w:cs="Times New Roman"/>
          <w:i/>
          <w:iCs/>
          <w:sz w:val="24"/>
          <w:szCs w:val="24"/>
        </w:rPr>
        <w:t>Climate risk</w:t>
      </w:r>
    </w:p>
    <w:p w14:paraId="2D3A8B1F" w14:textId="09D900C0" w:rsidR="00374E84" w:rsidRDefault="00D203D9">
      <w:pPr>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Pr>
          <w:rFonts w:ascii="Times New Roman" w:hAnsi="Times New Roman" w:cs="Times New Roman"/>
          <w:i/>
          <w:iCs/>
          <w:sz w:val="24"/>
          <w:szCs w:val="24"/>
        </w:rPr>
        <w:fldChar w:fldCharType="separate"/>
      </w:r>
      <w:r w:rsidRPr="00D203D9">
        <w:rPr>
          <w:rFonts w:ascii="Times New Roman" w:hAnsi="Times New Roman" w:cs="Times New Roman"/>
          <w:sz w:val="24"/>
        </w:rPr>
        <w:t>(Garcia et al. 2014)</w:t>
      </w:r>
      <w:r>
        <w:rPr>
          <w:rFonts w:ascii="Times New Roman" w:hAnsi="Times New Roman" w:cs="Times New Roman"/>
          <w:i/>
          <w:iCs/>
          <w:sz w:val="24"/>
          <w:szCs w:val="24"/>
        </w:rPr>
        <w:fldChar w:fldCharType="end"/>
      </w:r>
    </w:p>
    <w:p w14:paraId="64FE71E1" w14:textId="77777777" w:rsidR="00BC33AC" w:rsidRDefault="00BC33AC">
      <w:pPr>
        <w:rPr>
          <w:rFonts w:ascii="Times New Roman" w:hAnsi="Times New Roman" w:cs="Times New Roman"/>
          <w:i/>
          <w:iCs/>
          <w:sz w:val="24"/>
          <w:szCs w:val="24"/>
        </w:rPr>
      </w:pPr>
      <w:bookmarkStart w:id="16" w:name="_GoBack"/>
      <w:bookmarkEnd w:id="16"/>
    </w:p>
    <w:p w14:paraId="3047D76B" w14:textId="77777777" w:rsidR="00D203D9" w:rsidRDefault="00D203D9">
      <w:pPr>
        <w:rPr>
          <w:rFonts w:ascii="Times New Roman" w:hAnsi="Times New Roman" w:cs="Times New Roman"/>
          <w:i/>
          <w:iCs/>
          <w:sz w:val="24"/>
          <w:szCs w:val="24"/>
        </w:rPr>
      </w:pPr>
    </w:p>
    <w:p w14:paraId="06D8DE4A" w14:textId="2651CB17" w:rsidR="00A03015" w:rsidRDefault="003A7123">
      <w:pPr>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r w:rsidR="00A03015" w:rsidRPr="00FD477F">
        <w:rPr>
          <w:rFonts w:ascii="Times New Roman" w:hAnsi="Times New Roman" w:cs="Times New Roman"/>
          <w:i/>
          <w:iCs/>
          <w:sz w:val="24"/>
          <w:szCs w:val="24"/>
        </w:rPr>
        <w:br w:type="page"/>
      </w:r>
    </w:p>
    <w:p w14:paraId="7EF37B7B" w14:textId="77777777" w:rsidR="00FD477F" w:rsidRPr="00FD477F" w:rsidRDefault="00FD477F">
      <w:pPr>
        <w:rPr>
          <w:rFonts w:ascii="Times New Roman" w:hAnsi="Times New Roman" w:cs="Times New Roman"/>
          <w:i/>
          <w:iCs/>
          <w:sz w:val="24"/>
          <w:szCs w:val="24"/>
        </w:rPr>
      </w:pPr>
    </w:p>
    <w:p w14:paraId="776C5D79" w14:textId="551E4F66"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Methods references</w:t>
      </w:r>
    </w:p>
    <w:p w14:paraId="68E97451" w14:textId="77777777" w:rsidR="00A03015" w:rsidRDefault="00A03015">
      <w:pPr>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Acknowledgements </w:t>
      </w:r>
    </w:p>
    <w:p w14:paraId="27A25449" w14:textId="3CEF4904" w:rsidR="002A1C67"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Author contributions</w:t>
      </w:r>
    </w:p>
    <w:p w14:paraId="42D0FD16" w14:textId="3182ED40" w:rsidR="002A1C67" w:rsidRPr="00BE6065" w:rsidRDefault="002A1C67" w:rsidP="00123D81">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 declaration</w:t>
      </w:r>
    </w:p>
    <w:sectPr w:rsidR="002A1C67" w:rsidRPr="00BE6065"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9D13AC" w:rsidRDefault="009D13AC">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r w:rsidR="00275D6A">
        <w:rPr>
          <w:color w:val="222222"/>
          <w:sz w:val="27"/>
          <w:szCs w:val="27"/>
          <w:shd w:val="clear" w:color="auto" w:fill="FFFFFF"/>
        </w:rPr>
        <w:t>.</w:t>
      </w:r>
    </w:p>
    <w:p w14:paraId="04A8E5B1" w14:textId="4E1DFC8E" w:rsidR="00275D6A" w:rsidRDefault="00275D6A">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071BCB" w:rsidRDefault="00071BCB">
      <w:pPr>
        <w:pStyle w:val="CommentText"/>
      </w:pPr>
      <w:r w:rsidRPr="00071BCB">
        <w:t>https://www.nature.com/documents/nature-summary-paragraph.pdf</w:t>
      </w:r>
    </w:p>
  </w:comment>
  <w:comment w:id="1" w:author="richard" w:date="2019-12-19T14:43:00Z" w:initials="r">
    <w:p w14:paraId="35C5777D" w14:textId="7DDC1F9B" w:rsidR="00E3385D" w:rsidRDefault="008626B3"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2" w:author="richard" w:date="2019-12-19T14:46:00Z" w:initials="r">
    <w:p w14:paraId="0A54EF7E" w14:textId="4D6DD56F" w:rsidR="00DC486E" w:rsidRDefault="00DC486E">
      <w:pPr>
        <w:pStyle w:val="CommentText"/>
      </w:pPr>
      <w:r>
        <w:rPr>
          <w:rStyle w:val="CommentReference"/>
        </w:rPr>
        <w:annotationRef/>
      </w:r>
      <w:r>
        <w:t>From Rachel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35C5777D" w15:done="0"/>
  <w15:commentEx w15:paraId="0A54EF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35C5777D" w16cid:durableId="21A60B2E"/>
  <w16cid:commentId w16cid:paraId="0A54EF7E" w16cid:durableId="21A60B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4124"/>
    <w:rsid w:val="00065CFE"/>
    <w:rsid w:val="00071BCB"/>
    <w:rsid w:val="00123D81"/>
    <w:rsid w:val="00150A5D"/>
    <w:rsid w:val="001B4364"/>
    <w:rsid w:val="001B4C00"/>
    <w:rsid w:val="001C23DA"/>
    <w:rsid w:val="00234FAF"/>
    <w:rsid w:val="00275D6A"/>
    <w:rsid w:val="002A1C67"/>
    <w:rsid w:val="00324D4D"/>
    <w:rsid w:val="00357294"/>
    <w:rsid w:val="00364791"/>
    <w:rsid w:val="00374E84"/>
    <w:rsid w:val="00390174"/>
    <w:rsid w:val="003A7123"/>
    <w:rsid w:val="003B5238"/>
    <w:rsid w:val="004013F1"/>
    <w:rsid w:val="00417AB4"/>
    <w:rsid w:val="0048124B"/>
    <w:rsid w:val="004B4D7E"/>
    <w:rsid w:val="005238D0"/>
    <w:rsid w:val="0053094B"/>
    <w:rsid w:val="00537683"/>
    <w:rsid w:val="005D0B50"/>
    <w:rsid w:val="005D4502"/>
    <w:rsid w:val="006267BB"/>
    <w:rsid w:val="0065443F"/>
    <w:rsid w:val="006625F3"/>
    <w:rsid w:val="006A6E5C"/>
    <w:rsid w:val="00714B22"/>
    <w:rsid w:val="00721BAD"/>
    <w:rsid w:val="0073298F"/>
    <w:rsid w:val="007A76EC"/>
    <w:rsid w:val="007B57DB"/>
    <w:rsid w:val="00803BB9"/>
    <w:rsid w:val="0084155F"/>
    <w:rsid w:val="008626B3"/>
    <w:rsid w:val="008F18CE"/>
    <w:rsid w:val="00911E5C"/>
    <w:rsid w:val="00944C54"/>
    <w:rsid w:val="009721CF"/>
    <w:rsid w:val="00981CF9"/>
    <w:rsid w:val="009824DD"/>
    <w:rsid w:val="009852E1"/>
    <w:rsid w:val="009B70B2"/>
    <w:rsid w:val="009D13AC"/>
    <w:rsid w:val="00A03015"/>
    <w:rsid w:val="00A0557E"/>
    <w:rsid w:val="00A43FD6"/>
    <w:rsid w:val="00A7101B"/>
    <w:rsid w:val="00A82922"/>
    <w:rsid w:val="00AC690B"/>
    <w:rsid w:val="00AF2C40"/>
    <w:rsid w:val="00B11B6F"/>
    <w:rsid w:val="00BC33AC"/>
    <w:rsid w:val="00BE6065"/>
    <w:rsid w:val="00CA58D8"/>
    <w:rsid w:val="00CC38D3"/>
    <w:rsid w:val="00D203D9"/>
    <w:rsid w:val="00D31BD2"/>
    <w:rsid w:val="00D36EBD"/>
    <w:rsid w:val="00D44420"/>
    <w:rsid w:val="00D56A32"/>
    <w:rsid w:val="00D82778"/>
    <w:rsid w:val="00D86D26"/>
    <w:rsid w:val="00DC486E"/>
    <w:rsid w:val="00DD2BD4"/>
    <w:rsid w:val="00E3385D"/>
    <w:rsid w:val="00E34C55"/>
    <w:rsid w:val="00E43ABF"/>
    <w:rsid w:val="00E52175"/>
    <w:rsid w:val="00E564AC"/>
    <w:rsid w:val="00EA2023"/>
    <w:rsid w:val="00EE3731"/>
    <w:rsid w:val="00FD4603"/>
    <w:rsid w:val="00FD477F"/>
    <w:rsid w:val="00F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atacatalog.worldbank.org/dataset/worldwide-governance-indicat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gadm.org/" TargetMode="External"/><Relationship Id="rId5" Type="http://schemas.openxmlformats.org/officeDocument/2006/relationships/hyperlink" Target="mailto:richard.schuster@glel.carleton.ca" TargetMode="External"/><Relationship Id="rId15" Type="http://schemas.openxmlformats.org/officeDocument/2006/relationships/theme" Target="theme/theme1.xml"/><Relationship Id="rId10" Type="http://schemas.openxmlformats.org/officeDocument/2006/relationships/hyperlink" Target="http://www.birdlife.org/datazone/home" TargetMode="External"/><Relationship Id="rId4" Type="http://schemas.openxmlformats.org/officeDocument/2006/relationships/webSettings" Target="webSettings.xml"/><Relationship Id="rId9" Type="http://schemas.openxmlformats.org/officeDocument/2006/relationships/hyperlink" Target="http://www.iucnredlist.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84A3-1FE9-4AD5-820C-AF50E1A3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15</Pages>
  <Words>4345</Words>
  <Characters>24769</Characters>
  <Application>Microsoft Office Word</Application>
  <DocSecurity>0</DocSecurity>
  <Lines>206</Lines>
  <Paragraphs>58</Paragraphs>
  <ScaleCrop>false</ScaleCrop>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81</cp:revision>
  <dcterms:created xsi:type="dcterms:W3CDTF">2019-12-19T22:16:00Z</dcterms:created>
  <dcterms:modified xsi:type="dcterms:W3CDTF">2019-12-20T21:58:00Z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