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F879A" w14:textId="7245CA9A" w:rsidR="002E6443" w:rsidRDefault="002E6443">
      <w:pPr>
        <w:rPr>
          <w:b/>
          <w:bCs/>
          <w:lang w:val="en-US"/>
        </w:rPr>
      </w:pPr>
      <w:r>
        <w:rPr>
          <w:b/>
          <w:bCs/>
          <w:lang w:val="en-US"/>
        </w:rPr>
        <w:t xml:space="preserve">2. Theoretical background </w:t>
      </w:r>
    </w:p>
    <w:p w14:paraId="4370039A" w14:textId="79066938" w:rsidR="002A63D3" w:rsidRPr="002E6443" w:rsidRDefault="002E6443">
      <w:pPr>
        <w:rPr>
          <w:b/>
          <w:bCs/>
          <w:lang w:val="en-US"/>
        </w:rPr>
      </w:pPr>
      <w:r w:rsidRPr="002E6443">
        <w:rPr>
          <w:b/>
          <w:bCs/>
          <w:lang w:val="en-US"/>
        </w:rPr>
        <w:t>2.1 Theoretical Framework</w:t>
      </w:r>
    </w:p>
    <w:p w14:paraId="1D838AC1" w14:textId="1B5065EF" w:rsidR="002E6443" w:rsidRDefault="002E6443" w:rsidP="002E6443">
      <w:pPr>
        <w:spacing w:line="360" w:lineRule="auto"/>
        <w:jc w:val="both"/>
        <w:rPr>
          <w:lang w:val="en-US"/>
        </w:rPr>
      </w:pPr>
      <w:r w:rsidRPr="00CA4A3A">
        <w:t>W</w:t>
      </w:r>
      <w:r w:rsidRPr="006F3EA1">
        <w:rPr>
          <w:lang w:val="en-US"/>
        </w:rPr>
        <w:t>hen</w:t>
      </w:r>
      <w:r>
        <w:rPr>
          <w:lang w:val="en-US"/>
        </w:rPr>
        <w:t xml:space="preserve"> decision-makers</w:t>
      </w:r>
      <w:r w:rsidRPr="006F3EA1">
        <w:rPr>
          <w:lang w:val="en-US"/>
        </w:rPr>
        <w:t xml:space="preserve"> lack reliable information</w:t>
      </w:r>
      <w:r>
        <w:rPr>
          <w:lang w:val="en-US"/>
        </w:rPr>
        <w:t xml:space="preserve"> about the probabilities of outcomes</w:t>
      </w:r>
      <w:r w:rsidRPr="006F3EA1">
        <w:rPr>
          <w:lang w:val="en-US"/>
        </w:rPr>
        <w:t xml:space="preserve">, </w:t>
      </w:r>
      <w:r>
        <w:rPr>
          <w:lang w:val="en-US"/>
        </w:rPr>
        <w:t>decisions can occur under ambiguity</w:t>
      </w:r>
      <w:r w:rsidRPr="006F3EA1">
        <w:rPr>
          <w:lang w:val="en-US"/>
        </w:rPr>
        <w:t>.</w:t>
      </w:r>
      <w:r>
        <w:rPr>
          <w:lang w:val="en-US"/>
        </w:rPr>
        <w:t xml:space="preserve"> Several theories that model decision-making under ambiguity have been proposed.</w:t>
      </w:r>
      <w:r>
        <w:rPr>
          <w:rStyle w:val="FootnoteReference"/>
          <w:lang w:val="en-US"/>
        </w:rPr>
        <w:footnoteReference w:id="1"/>
      </w:r>
      <w:r>
        <w:rPr>
          <w:lang w:val="en-US"/>
        </w:rPr>
        <w:t xml:space="preserve"> Here we adopt the αEU model proposed by </w:t>
      </w:r>
      <w:r>
        <w:rPr>
          <w:lang w:val="en-US"/>
        </w:rPr>
        <w:fldChar w:fldCharType="begin"/>
      </w:r>
      <w:r>
        <w:rPr>
          <w:lang w:val="en-US"/>
        </w:rPr>
        <w:instrText xml:space="preserve"> ADDIN ZOTERO_ITEM CSL_CITATION {"citationID":"IslDkUJZ","properties":{"formattedCitation":"(Ghirardato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Pr>
          <w:lang w:val="en-US"/>
        </w:rPr>
        <w:fldChar w:fldCharType="separate"/>
      </w:r>
      <w:r w:rsidRPr="008F193A">
        <w:t xml:space="preserve">Ghirardato et al. </w:t>
      </w:r>
      <w:r>
        <w:t>(</w:t>
      </w:r>
      <w:r w:rsidRPr="008F193A">
        <w:t>2004)</w:t>
      </w:r>
      <w:r>
        <w:rPr>
          <w:lang w:val="en-US"/>
        </w:rPr>
        <w:fldChar w:fldCharType="end"/>
      </w:r>
      <w:r>
        <w:rPr>
          <w:lang w:val="en-US"/>
        </w:rPr>
        <w:t>, that is a generalization of the MaxMin Expected Utility model (</w:t>
      </w:r>
      <w:r>
        <w:rPr>
          <w:lang w:val="en-US"/>
        </w:rPr>
        <w:fldChar w:fldCharType="begin"/>
      </w:r>
      <w:r>
        <w:rPr>
          <w:lang w:val="en-US"/>
        </w:rPr>
        <w:instrText xml:space="preserve"> ADDIN ZOTERO_ITEM CSL_CITATION {"citationID":"jSCAy45W","properties":{"formattedCitation":"(Gilboa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Pr>
          <w:rFonts w:ascii="Cambria Math" w:hAnsi="Cambria Math" w:cs="Cambria Math"/>
          <w:lang w:val="en-US"/>
        </w:rPr>
        <w:instrText>∘</w:instrText>
      </w:r>
      <w:r>
        <w:rPr>
          <w:lang w:val="en-US"/>
        </w:rPr>
        <w:instrText xml:space="preserve"> f dP¦PϵC}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Pr>
          <w:lang w:val="en-US"/>
        </w:rPr>
        <w:fldChar w:fldCharType="separate"/>
      </w:r>
      <w:r w:rsidRPr="00D94A89">
        <w:t>Gilboa &amp; Schmeidler</w:t>
      </w:r>
      <w:r>
        <w:t xml:space="preserve">, </w:t>
      </w:r>
      <w:r w:rsidRPr="00D94A89">
        <w:t>1989)</w:t>
      </w:r>
      <w:r>
        <w:rPr>
          <w:lang w:val="en-US"/>
        </w:rPr>
        <w:fldChar w:fldCharType="end"/>
      </w:r>
      <w:r>
        <w:rPr>
          <w:lang w:val="en-US"/>
        </w:rPr>
        <w:t xml:space="preserve">. These models are based on the assumption that preferences can be represented by a set </w:t>
      </w:r>
      <m:oMath>
        <m:r>
          <m:rPr>
            <m:scr m:val="script"/>
          </m:rPr>
          <w:rPr>
            <w:rFonts w:ascii="Cambria Math" w:hAnsi="Cambria Math"/>
            <w:lang w:val="en-US"/>
          </w:rPr>
          <m:t>P</m:t>
        </m:r>
      </m:oMath>
      <w:r>
        <w:rPr>
          <w:lang w:val="en-US"/>
        </w:rPr>
        <w:t xml:space="preserve"> of beliefs (i.e., probabilities) of different events, and that ambiguity can then be described by the size of the belief set </w:t>
      </w:r>
      <w:r>
        <w:rPr>
          <w:lang w:val="en-US"/>
        </w:rPr>
        <w:fldChar w:fldCharType="begin"/>
      </w:r>
      <w:r w:rsidR="00B82EF5">
        <w:rPr>
          <w:lang w:val="en-US"/>
        </w:rPr>
        <w:instrText xml:space="preserve"> ADDIN ZOTERO_ITEM CSL_CITATION {"citationID":"JFHkN1B6","properties":{"formattedCitation":"(Gilboa and Schmeidler 1989)","plainCitation":"(Gilboa and Schmeidler 1989)","noteIndex":0},"citationItems":[{"id":127031,"uris":["http://zotero.org/users/14812719/items/XIXU42T8"],"itemData":{"id":127031,"type":"article-journal","abstract":"Acts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B82EF5">
        <w:rPr>
          <w:rFonts w:ascii="Cambria Math" w:hAnsi="Cambria Math" w:cs="Cambria Math"/>
          <w:lang w:val="en-US"/>
        </w:rPr>
        <w:instrText>∘</w:instrText>
      </w:r>
      <w:r w:rsidR="00B82EF5">
        <w:rPr>
          <w:lang w:val="en-US"/>
        </w:rPr>
        <w:instrText xml:space="preserve"> f dP</w:instrText>
      </w:r>
      <w:r w:rsidR="00B82EF5">
        <w:rPr>
          <w:rFonts w:cs="Times New Roman"/>
          <w:lang w:val="en-US"/>
        </w:rPr>
        <w:instrText>¦</w:instrText>
      </w:r>
      <w:r w:rsidR="00B82EF5">
        <w:rPr>
          <w:lang w:val="en-US"/>
        </w:rPr>
        <w:instrText xml:space="preserve">PϵC}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Pr>
          <w:lang w:val="en-US"/>
        </w:rPr>
        <w:fldChar w:fldCharType="separate"/>
      </w:r>
      <w:r w:rsidR="00B82EF5" w:rsidRPr="00B82EF5">
        <w:rPr>
          <w:rFonts w:cs="Times New Roman"/>
        </w:rPr>
        <w:t>(Gilboa and Schmeidler 1989)</w:t>
      </w:r>
      <w:r>
        <w:rPr>
          <w:lang w:val="en-US"/>
        </w:rPr>
        <w:fldChar w:fldCharType="end"/>
      </w:r>
      <w:r>
        <w:rPr>
          <w:lang w:val="en-US"/>
        </w:rPr>
        <w:t xml:space="preserve">. The decision-maker has then multiple subjective probabilities </w:t>
      </w:r>
      <m:oMath>
        <m:r>
          <w:rPr>
            <w:rFonts w:ascii="Cambria Math" w:hAnsi="Cambria Math"/>
            <w:lang w:val="en-US"/>
          </w:rPr>
          <m:t>P</m:t>
        </m:r>
        <m:r>
          <m:rPr>
            <m:sty m:val="p"/>
          </m:rPr>
          <w:rPr>
            <w:rFonts w:ascii="Cambria Math" w:hAnsi="Cambria Math"/>
            <w:lang w:val="en-US"/>
          </w:rPr>
          <m:t>∈</m:t>
        </m:r>
        <m:r>
          <m:rPr>
            <m:scr m:val="script"/>
          </m:rPr>
          <w:rPr>
            <w:rFonts w:ascii="Cambria Math" w:hAnsi="Cambria Math"/>
            <w:lang w:val="en-US"/>
          </w:rPr>
          <m:t>P</m:t>
        </m:r>
      </m:oMath>
      <w:r>
        <w:rPr>
          <w:lang w:val="en-US"/>
        </w:rPr>
        <w:t xml:space="preserve"> (or multiple priors). If the set </w:t>
      </w:r>
      <m:oMath>
        <m:r>
          <m:rPr>
            <m:scr m:val="script"/>
          </m:rPr>
          <w:rPr>
            <w:rFonts w:ascii="Cambria Math" w:hAnsi="Cambria Math"/>
            <w:lang w:val="en-US"/>
          </w:rPr>
          <m:t>P</m:t>
        </m:r>
      </m:oMath>
      <w:r>
        <w:rPr>
          <w:lang w:val="en-US"/>
        </w:rPr>
        <w:t xml:space="preserve"> is a singleton, the decision-maker perceives no ambiguity and the model reduces to the standard Subjective Expected Utility model. Moreover, the </w:t>
      </w:r>
      <m:oMath>
        <m:r>
          <m:rPr>
            <m:sty m:val="p"/>
          </m:rPr>
          <w:rPr>
            <w:rFonts w:ascii="Cambria Math" w:hAnsi="Cambria Math"/>
            <w:lang w:val="en-US"/>
          </w:rPr>
          <m:t>α</m:t>
        </m:r>
      </m:oMath>
      <w:r>
        <w:rPr>
          <w:lang w:val="en-US"/>
        </w:rPr>
        <w:t xml:space="preserve">EU model introduces a parameter </w:t>
      </w:r>
      <m:oMath>
        <m:r>
          <w:rPr>
            <w:rFonts w:ascii="Cambria Math" w:hAnsi="Cambria Math"/>
            <w:lang w:val="en-US"/>
          </w:rPr>
          <m:t>(α)</m:t>
        </m:r>
      </m:oMath>
      <w:r>
        <w:rPr>
          <w:lang w:val="en-US"/>
        </w:rPr>
        <w:t xml:space="preserve"> that capture the degree of ambiguity attitudes. Decisions are then made on the basis of a weighted average of the minimum (worst case) and the maximum (best case) expected utility over the set </w:t>
      </w:r>
      <m:oMath>
        <m:r>
          <m:rPr>
            <m:scr m:val="script"/>
          </m:rPr>
          <w:rPr>
            <w:rFonts w:ascii="Cambria Math" w:hAnsi="Cambria Math"/>
            <w:lang w:val="en-US"/>
          </w:rPr>
          <m:t>P</m:t>
        </m:r>
      </m:oMath>
      <w:r>
        <w:rPr>
          <w:lang w:val="en-US"/>
        </w:rPr>
        <w:t xml:space="preserve"> of probabilities:</w:t>
      </w:r>
    </w:p>
    <w:p w14:paraId="5A6ED73E" w14:textId="77777777" w:rsidR="002E6443" w:rsidRDefault="00A070FC" w:rsidP="002E6443">
      <w:pPr>
        <w:spacing w:line="360" w:lineRule="auto"/>
        <w:jc w:val="both"/>
        <w:rPr>
          <w:lang w:val="en-US"/>
        </w:rPr>
      </w:pPr>
      <m:oMathPara>
        <m:oMath>
          <m:eqArr>
            <m:eqArrPr>
              <m:maxDist m:val="1"/>
              <m:ctrlPr>
                <w:rPr>
                  <w:rFonts w:ascii="Cambria Math" w:hAnsi="Cambria Math"/>
                  <w:i/>
                  <w:iCs/>
                </w:rPr>
              </m:ctrlPr>
            </m:eqArrPr>
            <m:e>
              <m:r>
                <w:rPr>
                  <w:rFonts w:ascii="Cambria Math" w:hAnsi="Cambria Math"/>
                  <w:lang w:val="en-US"/>
                </w:rPr>
                <m:t xml:space="preserve">max </m:t>
              </m:r>
              <m:r>
                <m:rPr>
                  <m:sty m:val="p"/>
                </m:rPr>
                <w:rPr>
                  <w:rFonts w:ascii="Cambria Math" w:hAnsi="Cambria Math"/>
                  <w:lang w:val="en-US"/>
                </w:rPr>
                <m:t>U</m:t>
              </m:r>
              <m:func>
                <m:funcPr>
                  <m:ctrlPr>
                    <w:rPr>
                      <w:rFonts w:ascii="Cambria Math" w:hAnsi="Cambria Math"/>
                      <w:i/>
                      <w:iCs/>
                    </w:rPr>
                  </m:ctrlPr>
                </m:funcPr>
                <m:fName>
                  <m:r>
                    <w:rPr>
                      <w:rFonts w:ascii="Cambria Math" w:hAnsi="Cambria Math"/>
                    </w:rPr>
                    <m:t>=</m:t>
                  </m:r>
                </m:fName>
                <m:e>
                  <m:r>
                    <w:rPr>
                      <w:rFonts w:ascii="Cambria Math" w:hAnsi="Cambria Math"/>
                      <w:lang w:val="en-US"/>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P</m:t>
                          </m:r>
                          <m:r>
                            <m:rPr>
                              <m:sty m:val="p"/>
                            </m:rPr>
                            <w:rPr>
                              <w:rFonts w:ascii="Cambria Math" w:hAnsi="Cambria Math"/>
                              <w:lang w:val="en-US"/>
                            </w:rPr>
                            <m:t>∈</m:t>
                          </m:r>
                          <m:r>
                            <m:rPr>
                              <m:scr m:val="script"/>
                            </m:rPr>
                            <w:rPr>
                              <w:rFonts w:ascii="Cambria Math" w:hAnsi="Cambria Math"/>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α</m:t>
                      </m:r>
                      <m:ctrlPr>
                        <w:rPr>
                          <w:rFonts w:ascii="Cambria Math" w:hAnsi="Cambria Math"/>
                          <w:lang w:val="en-US"/>
                        </w:rPr>
                      </m:ctrlP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lang w:val="en-US"/>
                            </w:rPr>
                            <m:t>P</m:t>
                          </m:r>
                          <m:r>
                            <m:rPr>
                              <m:sty m:val="p"/>
                            </m:rPr>
                            <w:rPr>
                              <w:rFonts w:ascii="Cambria Math" w:hAnsi="Cambria Math"/>
                              <w:lang w:val="en-US"/>
                            </w:rPr>
                            <m:t>∈</m:t>
                          </m:r>
                          <m:r>
                            <m:rPr>
                              <m:scr m:val="script"/>
                            </m:rPr>
                            <w:rPr>
                              <w:rFonts w:ascii="Cambria Math" w:hAnsi="Cambria Math"/>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e>
              </m:func>
              <m:r>
                <w:rPr>
                  <w:rFonts w:ascii="Cambria Math" w:hAnsi="Cambria Math"/>
                  <w:lang w:val="en-US"/>
                </w:rPr>
                <m:t>#</m:t>
              </m:r>
              <m:d>
                <m:dPr>
                  <m:ctrlPr>
                    <w:rPr>
                      <w:rFonts w:ascii="Cambria Math" w:hAnsi="Cambria Math"/>
                      <w:i/>
                      <w:iCs/>
                    </w:rPr>
                  </m:ctrlPr>
                </m:dPr>
                <m:e>
                  <m:r>
                    <w:rPr>
                      <w:rFonts w:ascii="Cambria Math" w:hAnsi="Cambria Math"/>
                    </w:rPr>
                    <m:t>7</m:t>
                  </m:r>
                </m:e>
              </m:d>
              <m:ctrlPr>
                <w:rPr>
                  <w:rFonts w:ascii="Cambria Math" w:hAnsi="Cambria Math"/>
                  <w:i/>
                  <w:lang w:val="en-US"/>
                </w:rPr>
              </m:ctrlPr>
            </m:e>
          </m:eqArr>
        </m:oMath>
      </m:oMathPara>
    </w:p>
    <w:p w14:paraId="69444A26" w14:textId="77777777" w:rsidR="002E6443" w:rsidRDefault="002E6443" w:rsidP="002E6443">
      <w:pPr>
        <w:spacing w:line="360" w:lineRule="auto"/>
        <w:jc w:val="both"/>
        <w:rPr>
          <w:lang w:val="en-US"/>
        </w:rPr>
      </w:pPr>
      <w:r>
        <w:rPr>
          <w:lang w:val="en-US"/>
        </w:rPr>
        <w:t xml:space="preserve">where </w:t>
      </w:r>
      <m:oMath>
        <m:r>
          <w:rPr>
            <w:rFonts w:ascii="Cambria Math" w:hAnsi="Cambria Math"/>
            <w:lang w:val="en-US"/>
          </w:rPr>
          <m:t>α</m:t>
        </m:r>
        <m:r>
          <m:rPr>
            <m:sty m:val="p"/>
          </m:rP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w:r>
        <w:rPr>
          <w:lang w:val="en-US"/>
        </w:rPr>
        <w:t xml:space="preserve"> is the decision-maker ambiguity attitude. The larger </w:t>
      </w:r>
      <m:oMath>
        <m:r>
          <w:rPr>
            <w:rFonts w:ascii="Cambria Math" w:hAnsi="Cambria Math"/>
            <w:lang w:val="en-US"/>
          </w:rPr>
          <m:t>α</m:t>
        </m:r>
      </m:oMath>
      <w:r>
        <w:rPr>
          <w:lang w:val="en-US"/>
        </w:rPr>
        <w:t xml:space="preserve"> is, the more the decision-maker is ambiguity averse, and the larger the weight on the pessimistic evaluation. In the special case where </w:t>
      </w:r>
      <m:oMath>
        <m:r>
          <w:rPr>
            <w:rFonts w:ascii="Cambria Math" w:hAnsi="Cambria Math"/>
            <w:lang w:val="en-US"/>
          </w:rPr>
          <m:t>α=1</m:t>
        </m:r>
      </m:oMath>
      <w:r>
        <w:rPr>
          <w:lang w:val="en-US"/>
        </w:rPr>
        <w:t xml:space="preserve">, the model reduces to the MaxMin model of </w:t>
      </w:r>
      <w:r>
        <w:rPr>
          <w:lang w:val="en-US"/>
        </w:rPr>
        <w:fldChar w:fldCharType="begin"/>
      </w:r>
      <w:r>
        <w:rPr>
          <w:lang w:val="en-US"/>
        </w:rPr>
        <w:instrText xml:space="preserve"> ADDIN ZOTERO_ITEM CSL_CITATION {"citationID":"0vqeN8yM","properties":{"formattedCitation":"(Gilboa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Pr>
          <w:rFonts w:ascii="Cambria Math" w:hAnsi="Cambria Math" w:cs="Cambria Math"/>
          <w:lang w:val="en-US"/>
        </w:rPr>
        <w:instrText>∘</w:instrText>
      </w:r>
      <w:r>
        <w:rPr>
          <w:lang w:val="en-US"/>
        </w:rPr>
        <w:instrText xml:space="preserve"> f dP¦PϵC}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Pr>
          <w:lang w:val="en-US"/>
        </w:rPr>
        <w:fldChar w:fldCharType="separate"/>
      </w:r>
      <w:r w:rsidRPr="00BE7C3F">
        <w:t xml:space="preserve">Gilboa &amp; Schmeidler </w:t>
      </w:r>
      <w:r>
        <w:t>(</w:t>
      </w:r>
      <w:r w:rsidRPr="00BE7C3F">
        <w:t>1989)</w:t>
      </w:r>
      <w:r>
        <w:rPr>
          <w:lang w:val="en-US"/>
        </w:rPr>
        <w:fldChar w:fldCharType="end"/>
      </w:r>
      <w:r>
        <w:rPr>
          <w:lang w:val="en-US"/>
        </w:rPr>
        <w:t xml:space="preserve">. </w:t>
      </w:r>
    </w:p>
    <w:p w14:paraId="69978F3B" w14:textId="5B83ED2F" w:rsidR="002E6443" w:rsidRDefault="002E6443">
      <w:pPr>
        <w:rPr>
          <w:b/>
          <w:bCs/>
          <w:lang w:val="en-US"/>
        </w:rPr>
      </w:pPr>
      <w:r>
        <w:rPr>
          <w:b/>
          <w:bCs/>
          <w:lang w:val="en-US"/>
        </w:rPr>
        <w:t>3. Methodology</w:t>
      </w:r>
    </w:p>
    <w:p w14:paraId="1D51934B" w14:textId="21525CCE" w:rsidR="002E6443" w:rsidRDefault="002E6443">
      <w:pPr>
        <w:rPr>
          <w:b/>
          <w:bCs/>
        </w:rPr>
      </w:pPr>
      <w:r w:rsidRPr="002E6443">
        <w:rPr>
          <w:b/>
          <w:bCs/>
          <w:lang w:val="en-US"/>
        </w:rPr>
        <w:t xml:space="preserve">3.4 </w:t>
      </w:r>
      <w:r w:rsidRPr="002E6443">
        <w:rPr>
          <w:b/>
          <w:bCs/>
        </w:rPr>
        <w:t>Simulation of utility under different decision theories and framing</w:t>
      </w:r>
    </w:p>
    <w:p w14:paraId="3C1F9D1D" w14:textId="07C9D4D0" w:rsidR="003F53A4" w:rsidRDefault="002E6443" w:rsidP="002E6443">
      <w:pPr>
        <w:spacing w:after="120" w:line="360" w:lineRule="auto"/>
        <w:jc w:val="both"/>
        <w:rPr>
          <w:rFonts w:ascii="CG Times" w:eastAsia="Times New Roman" w:hAnsi="CG Times" w:cs="Times New Roman"/>
          <w:szCs w:val="20"/>
          <w:lang w:val="en-US"/>
        </w:rPr>
      </w:pPr>
      <w:r w:rsidRPr="002E6443">
        <w:rPr>
          <w:rFonts w:ascii="CG Times" w:eastAsia="Times New Roman" w:hAnsi="CG Times" w:cs="Times New Roman"/>
          <w:szCs w:val="20"/>
          <w:lang w:val="en-US"/>
        </w:rPr>
        <w:t>For the</w:t>
      </w:r>
      <w:r w:rsidRPr="002E6443">
        <w:rPr>
          <w:rFonts w:ascii="Cambria Math" w:eastAsia="Times New Roman" w:hAnsi="Cambria Math" w:cs="Times New Roman"/>
          <w:szCs w:val="20"/>
          <w:lang w:val="en-US"/>
        </w:rPr>
        <w:t xml:space="preserve"> </w:t>
      </w:r>
      <m:oMath>
        <m:r>
          <m:rPr>
            <m:sty m:val="p"/>
          </m:rPr>
          <w:rPr>
            <w:rFonts w:ascii="Cambria Math" w:eastAsia="Times New Roman" w:hAnsi="Cambria Math" w:cs="Times New Roman"/>
            <w:szCs w:val="20"/>
            <w:lang w:val="en-US"/>
          </w:rPr>
          <m:t>α</m:t>
        </m:r>
      </m:oMath>
      <w:r w:rsidRPr="002E6443">
        <w:rPr>
          <w:rFonts w:ascii="CG Times" w:eastAsia="Times New Roman" w:hAnsi="CG Times" w:cs="Times New Roman"/>
          <w:szCs w:val="20"/>
          <w:lang w:val="en-US"/>
        </w:rPr>
        <w:t xml:space="preserve">EU, we consider a </w:t>
      </w:r>
      <w:commentRangeStart w:id="0"/>
      <w:r w:rsidRPr="002E6443">
        <w:rPr>
          <w:rFonts w:ascii="CG Times" w:eastAsia="Times New Roman" w:hAnsi="CG Times" w:cs="Times New Roman"/>
          <w:szCs w:val="20"/>
          <w:lang w:val="en-US"/>
        </w:rPr>
        <w:t xml:space="preserve">binary state space of either low </w:t>
      </w:r>
      <w:commentRangeEnd w:id="0"/>
      <w:r w:rsidR="00CB5171">
        <w:rPr>
          <w:rStyle w:val="CommentReference"/>
        </w:rPr>
        <w:commentReference w:id="0"/>
      </w:r>
      <w:r w:rsidR="005D46E4">
        <w:rPr>
          <w:rFonts w:ascii="CG Times" w:eastAsia="Times New Roman" w:hAnsi="CG Times" w:cs="Times New Roman"/>
          <w:szCs w:val="20"/>
          <w:lang w:val="en-US"/>
        </w:rPr>
        <w:t xml:space="preserve">or high </w:t>
      </w:r>
      <w:r w:rsidRPr="002E6443">
        <w:rPr>
          <w:rFonts w:ascii="CG Times" w:eastAsia="Times New Roman" w:hAnsi="CG Times" w:cs="Times New Roman"/>
          <w:szCs w:val="20"/>
          <w:lang w:val="en-US"/>
        </w:rPr>
        <w:t xml:space="preserve">profits </w:t>
      </w:r>
      <w:r w:rsidR="009A3D92">
        <w:rPr>
          <w:rFonts w:ascii="CG Times" w:eastAsia="Times New Roman" w:hAnsi="CG Times" w:cs="Times New Roman"/>
          <w:szCs w:val="20"/>
          <w:lang w:val="en-US"/>
        </w:rPr>
        <w:t xml:space="preserve">with the </w:t>
      </w:r>
      <w:r w:rsidR="00CB28CC">
        <w:rPr>
          <w:rFonts w:ascii="CG Times" w:eastAsia="Times New Roman" w:hAnsi="CG Times" w:cs="Times New Roman"/>
          <w:szCs w:val="20"/>
          <w:lang w:val="en-US"/>
        </w:rPr>
        <w:t>unfavorable outcome</w:t>
      </w:r>
      <w:r w:rsidR="007D1C02">
        <w:rPr>
          <w:rFonts w:ascii="CG Times" w:eastAsia="Times New Roman" w:hAnsi="CG Times" w:cs="Times New Roman"/>
          <w:szCs w:val="20"/>
          <w:lang w:val="en-US"/>
        </w:rPr>
        <w:t xml:space="preserve">, representing downside risk, </w:t>
      </w:r>
      <w:r w:rsidRPr="002E6443">
        <w:rPr>
          <w:rFonts w:ascii="CG Times" w:eastAsia="Times New Roman" w:hAnsi="CG Times" w:cs="Times New Roman"/>
          <w:szCs w:val="20"/>
          <w:lang w:val="en-US"/>
        </w:rPr>
        <w:t xml:space="preserve">occurring with probability </w:t>
      </w:r>
      <m:oMath>
        <m:r>
          <w:rPr>
            <w:rFonts w:ascii="Cambria Math" w:eastAsia="Times New Roman" w:hAnsi="Cambria Math" w:cs="Times New Roman"/>
            <w:szCs w:val="20"/>
            <w:lang w:val="en-US"/>
          </w:rPr>
          <m:t>P</m:t>
        </m:r>
      </m:oMath>
      <w:r w:rsidRPr="002E6443">
        <w:rPr>
          <w:rFonts w:ascii="CG Times" w:eastAsia="Times New Roman" w:hAnsi="CG Times" w:cs="Times New Roman"/>
          <w:szCs w:val="20"/>
          <w:lang w:val="en-US"/>
        </w:rPr>
        <w:t xml:space="preserve">. </w:t>
      </w:r>
      <w:r w:rsidR="0037001A">
        <w:rPr>
          <w:rFonts w:ascii="CG Times" w:eastAsia="Times New Roman" w:hAnsi="CG Times" w:cs="Times New Roman"/>
          <w:szCs w:val="20"/>
          <w:lang w:val="en-US"/>
        </w:rPr>
        <w:t>T</w:t>
      </w:r>
      <w:r w:rsidR="0048202C">
        <w:rPr>
          <w:rFonts w:ascii="CG Times" w:eastAsia="Times New Roman" w:hAnsi="CG Times" w:cs="Times New Roman"/>
          <w:szCs w:val="20"/>
          <w:lang w:val="en-US"/>
        </w:rPr>
        <w:t xml:space="preserve">he </w:t>
      </w:r>
      <w:r w:rsidR="00CB28CC">
        <w:rPr>
          <w:rFonts w:ascii="CG Times" w:eastAsia="Times New Roman" w:hAnsi="CG Times" w:cs="Times New Roman"/>
          <w:szCs w:val="20"/>
          <w:lang w:val="en-US"/>
        </w:rPr>
        <w:t xml:space="preserve">unfavorable outcome </w:t>
      </w:r>
      <w:r w:rsidR="0037001A">
        <w:rPr>
          <w:rFonts w:ascii="CG Times" w:eastAsia="Times New Roman" w:hAnsi="CG Times" w:cs="Times New Roman"/>
          <w:szCs w:val="20"/>
          <w:lang w:val="en-US"/>
        </w:rPr>
        <w:t xml:space="preserve">is defined as </w:t>
      </w:r>
      <w:r w:rsidR="000E5519">
        <w:rPr>
          <w:rFonts w:ascii="CG Times" w:eastAsia="Times New Roman" w:hAnsi="CG Times" w:cs="Times New Roman"/>
          <w:szCs w:val="20"/>
          <w:lang w:val="en-US"/>
        </w:rPr>
        <w:t>profits below expectations</w:t>
      </w:r>
      <w:r w:rsidR="00124FBD">
        <w:rPr>
          <w:rFonts w:ascii="CG Times" w:eastAsia="Times New Roman" w:hAnsi="CG Times" w:cs="Times New Roman"/>
          <w:szCs w:val="20"/>
          <w:lang w:val="en-US"/>
        </w:rPr>
        <w:t xml:space="preserve"> </w:t>
      </w:r>
      <m:oMath>
        <m:r>
          <w:rPr>
            <w:rFonts w:ascii="Cambria Math" w:eastAsia="Times New Roman" w:hAnsi="Cambria Math" w:cs="Times New Roman"/>
            <w:szCs w:val="20"/>
            <w:lang w:val="en-US"/>
          </w:rPr>
          <m:t>(</m:t>
        </m:r>
        <m:r>
          <m:rPr>
            <m:sty m:val="p"/>
          </m:rPr>
          <w:rPr>
            <w:rFonts w:ascii="Cambria Math" w:eastAsia="Times New Roman" w:hAnsi="Cambria Math" w:cs="Times New Roman"/>
            <w:szCs w:val="20"/>
            <w:lang w:val="en-US"/>
          </w:rPr>
          <m:t>π</m:t>
        </m:r>
        <m:r>
          <w:rPr>
            <w:rFonts w:ascii="Cambria Math" w:eastAsia="Times New Roman" w:hAnsi="Cambria Math" w:cs="Times New Roman"/>
            <w:szCs w:val="20"/>
            <w:lang w:val="en-US"/>
          </w:rPr>
          <m:t>&lt;ref.point)</m:t>
        </m:r>
      </m:oMath>
      <w:r w:rsidR="000E5519">
        <w:rPr>
          <w:rFonts w:ascii="CG Times" w:eastAsia="Times New Roman" w:hAnsi="CG Times" w:cs="Times New Roman"/>
          <w:szCs w:val="20"/>
          <w:lang w:val="en-US"/>
        </w:rPr>
        <w:t>.</w:t>
      </w:r>
      <w:r w:rsidR="00124FBD">
        <w:rPr>
          <w:rFonts w:ascii="CG Times" w:eastAsia="Times New Roman" w:hAnsi="CG Times" w:cs="Times New Roman"/>
          <w:szCs w:val="20"/>
          <w:lang w:val="en-US"/>
        </w:rPr>
        <w:t xml:space="preserve"> </w:t>
      </w:r>
      <w:r w:rsidR="00557F2A">
        <w:rPr>
          <w:rFonts w:ascii="CG Times" w:eastAsia="Times New Roman" w:hAnsi="CG Times" w:cs="Times New Roman"/>
          <w:szCs w:val="20"/>
          <w:lang w:val="en-US"/>
        </w:rPr>
        <w:t>T</w:t>
      </w:r>
      <w:r w:rsidR="00557F2A" w:rsidRPr="002E6443">
        <w:rPr>
          <w:rFonts w:ascii="CG Times" w:eastAsia="Times New Roman" w:hAnsi="CG Times" w:cs="Times New Roman"/>
          <w:szCs w:val="20"/>
          <w:lang w:val="en-US"/>
        </w:rPr>
        <w:t>he farmer faces ambiguity: they don't know the true probability</w:t>
      </w:r>
      <w:r w:rsidR="00557F2A">
        <w:rPr>
          <w:rFonts w:ascii="CG Times" w:eastAsia="Times New Roman" w:hAnsi="CG Times" w:cs="Times New Roman"/>
          <w:szCs w:val="20"/>
          <w:lang w:val="en-US"/>
        </w:rPr>
        <w:t xml:space="preserve"> of </w:t>
      </w:r>
      <w:r w:rsidR="000E5519">
        <w:rPr>
          <w:rFonts w:ascii="CG Times" w:eastAsia="Times New Roman" w:hAnsi="CG Times" w:cs="Times New Roman"/>
          <w:szCs w:val="20"/>
          <w:lang w:val="en-US"/>
        </w:rPr>
        <w:t>the adverse state</w:t>
      </w:r>
      <w:r w:rsidR="00557F2A" w:rsidRPr="002E6443">
        <w:rPr>
          <w:rFonts w:ascii="CG Times" w:eastAsia="Times New Roman" w:hAnsi="CG Times" w:cs="Times New Roman"/>
          <w:szCs w:val="20"/>
          <w:lang w:val="en-US"/>
        </w:rPr>
        <w:t xml:space="preserve">, only that it lies within a set of plausible distributions </w:t>
      </w:r>
      <m:oMath>
        <m:r>
          <m:rPr>
            <m:scr m:val="script"/>
          </m:rPr>
          <w:rPr>
            <w:rFonts w:ascii="Cambria Math" w:eastAsia="Times New Roman" w:hAnsi="Cambria Math" w:cs="Times New Roman"/>
            <w:lang w:val="en-US"/>
          </w:rPr>
          <m:t>P=</m:t>
        </m:r>
        <m:d>
          <m:dPr>
            <m:begChr m:val="["/>
            <m:endChr m:val="]"/>
            <m:ctrlPr>
              <w:rPr>
                <w:rFonts w:ascii="Cambria Math" w:eastAsia="Times New Roman" w:hAnsi="Cambria Math" w:cs="Times New Roman"/>
                <w:i/>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min</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max</m:t>
                </m:r>
              </m:sub>
            </m:sSub>
          </m:e>
        </m:d>
      </m:oMath>
      <w:r w:rsidR="00557F2A" w:rsidRPr="002E6443">
        <w:rPr>
          <w:rFonts w:ascii="CG Times" w:eastAsia="Times New Roman" w:hAnsi="CG Times" w:cs="Times New Roman"/>
          <w:szCs w:val="20"/>
          <w:lang w:val="en-US"/>
        </w:rPr>
        <w:t>, where t</w:t>
      </w:r>
      <w:r w:rsidR="00557F2A" w:rsidRPr="002E6443">
        <w:rPr>
          <w:rFonts w:ascii="CG Times" w:eastAsia="Times New Roman" w:hAnsi="CG Times" w:cs="Times New Roman"/>
          <w:lang w:val="en-US"/>
        </w:rPr>
        <w:t xml:space="preserve">he size of </w:t>
      </w:r>
      <m:oMath>
        <m:r>
          <m:rPr>
            <m:scr m:val="script"/>
          </m:rPr>
          <w:rPr>
            <w:rFonts w:ascii="Cambria Math" w:eastAsia="Times New Roman" w:hAnsi="Cambria Math" w:cs="Times New Roman"/>
            <w:lang w:val="en-US"/>
          </w:rPr>
          <m:t>P</m:t>
        </m:r>
      </m:oMath>
      <w:r w:rsidR="00557F2A" w:rsidRPr="002E6443">
        <w:rPr>
          <w:rFonts w:ascii="CG Times" w:eastAsia="Times New Roman" w:hAnsi="CG Times" w:cs="Times New Roman"/>
          <w:lang w:val="en-US"/>
        </w:rPr>
        <w:t xml:space="preserve"> represent subjective ambiguity. </w:t>
      </w:r>
      <w:r w:rsidRPr="002E6443">
        <w:rPr>
          <w:rFonts w:ascii="CG Times" w:eastAsia="Times New Roman" w:hAnsi="CG Times" w:cs="Times New Roman"/>
          <w:lang w:val="en-US"/>
        </w:rPr>
        <w:t>For analysis purposes we make ambiguity objective</w:t>
      </w:r>
      <w:r w:rsidR="00C1359C">
        <w:rPr>
          <w:rFonts w:ascii="CG Times" w:eastAsia="Times New Roman" w:hAnsi="CG Times" w:cs="Times New Roman"/>
          <w:lang w:val="en-US"/>
        </w:rPr>
        <w:t xml:space="preserve"> and conduct </w:t>
      </w:r>
      <w:r w:rsidR="00A306E5">
        <w:rPr>
          <w:rFonts w:ascii="CG Times" w:eastAsia="Times New Roman" w:hAnsi="CG Times" w:cs="Times New Roman"/>
          <w:lang w:val="en-US"/>
        </w:rPr>
        <w:t xml:space="preserve">a </w:t>
      </w:r>
      <w:r w:rsidR="00A306E5" w:rsidRPr="00F36C84">
        <w:rPr>
          <w:rFonts w:ascii="CG Times" w:eastAsia="Times New Roman" w:hAnsi="CG Times" w:cs="Times New Roman"/>
          <w:lang w:val="en-US"/>
        </w:rPr>
        <w:t>sensitivity analysis</w:t>
      </w:r>
      <w:r w:rsidR="00A306E5">
        <w:rPr>
          <w:rFonts w:ascii="CG Times" w:eastAsia="Times New Roman" w:hAnsi="CG Times" w:cs="Times New Roman"/>
          <w:lang w:val="en-US"/>
        </w:rPr>
        <w:t xml:space="preserve"> </w:t>
      </w:r>
      <w:r w:rsidR="00A306E5" w:rsidRPr="00F36C84">
        <w:rPr>
          <w:rFonts w:ascii="CG Times" w:eastAsia="Times New Roman" w:hAnsi="CG Times" w:cs="Times New Roman"/>
          <w:lang w:val="en-US"/>
        </w:rPr>
        <w:t xml:space="preserve">over </w:t>
      </w:r>
      <w:r w:rsidR="00F31A7F">
        <w:rPr>
          <w:rFonts w:ascii="CG Times" w:eastAsia="Times New Roman" w:hAnsi="CG Times" w:cs="Times New Roman"/>
          <w:lang w:val="en-US"/>
        </w:rPr>
        <w:t xml:space="preserve">the </w:t>
      </w:r>
      <w:r w:rsidR="00A306E5" w:rsidRPr="00F36C84">
        <w:rPr>
          <w:rFonts w:ascii="CG Times" w:eastAsia="Times New Roman" w:hAnsi="CG Times" w:cs="Times New Roman"/>
          <w:lang w:val="en-US"/>
        </w:rPr>
        <w:t xml:space="preserve">degrees of </w:t>
      </w:r>
      <w:r w:rsidR="00A306E5" w:rsidRPr="00F36C84">
        <w:rPr>
          <w:rFonts w:ascii="CG Times" w:eastAsia="Times New Roman" w:hAnsi="CG Times" w:cs="Times New Roman"/>
          <w:lang w:val="en-US"/>
        </w:rPr>
        <w:lastRenderedPageBreak/>
        <w:t>ambiguity</w:t>
      </w:r>
      <w:r w:rsidR="00C1359C">
        <w:rPr>
          <w:rFonts w:ascii="CG Times" w:eastAsia="Times New Roman" w:hAnsi="CG Times" w:cs="Times New Roman"/>
          <w:lang w:val="en-US"/>
        </w:rPr>
        <w:t xml:space="preserve"> by </w:t>
      </w:r>
      <w:r w:rsidRPr="002E6443">
        <w:rPr>
          <w:rFonts w:ascii="CG Times" w:eastAsia="Times New Roman" w:hAnsi="CG Times" w:cs="Times New Roman"/>
          <w:lang w:val="en-US"/>
        </w:rPr>
        <w:t>simulat</w:t>
      </w:r>
      <w:r w:rsidR="00C1359C">
        <w:rPr>
          <w:rFonts w:ascii="CG Times" w:eastAsia="Times New Roman" w:hAnsi="CG Times" w:cs="Times New Roman"/>
          <w:lang w:val="en-US"/>
        </w:rPr>
        <w:t>ing</w:t>
      </w:r>
      <w:r w:rsidRPr="002E6443">
        <w:rPr>
          <w:rFonts w:ascii="CG Times" w:eastAsia="Times New Roman" w:hAnsi="CG Times" w:cs="Times New Roman"/>
          <w:lang w:val="en-US"/>
        </w:rPr>
        <w:t xml:space="preserve"> different ambiguity sets. For each set</w:t>
      </w:r>
      <w:r w:rsidR="001171A2">
        <w:rPr>
          <w:rFonts w:ascii="CG Times" w:eastAsia="Times New Roman" w:hAnsi="CG Times" w:cs="Times New Roman"/>
          <w:lang w:val="en-US"/>
        </w:rPr>
        <w:t xml:space="preserve"> of </w:t>
      </w:r>
      <m:oMath>
        <m:r>
          <m:rPr>
            <m:scr m:val="script"/>
          </m:rPr>
          <w:rPr>
            <w:rFonts w:ascii="Cambria Math" w:eastAsia="Times New Roman" w:hAnsi="Cambria Math" w:cs="Times New Roman"/>
            <w:lang w:val="en-US"/>
          </w:rPr>
          <m:t>P</m:t>
        </m:r>
      </m:oMath>
      <w:r w:rsidRPr="002E6443">
        <w:rPr>
          <w:rFonts w:ascii="CG Times" w:eastAsia="Times New Roman" w:hAnsi="CG Times" w:cs="Times New Roman"/>
          <w:lang w:val="en-US"/>
        </w:rPr>
        <w:t xml:space="preserve">, different values of ambiguity preferences </w:t>
      </w:r>
      <m:oMath>
        <m:r>
          <w:rPr>
            <w:rFonts w:ascii="Cambria Math" w:eastAsia="Times New Roman" w:hAnsi="Cambria Math" w:cs="Times New Roman"/>
            <w:lang w:val="en-US"/>
          </w:rPr>
          <m:t>(α</m:t>
        </m:r>
        <m:r>
          <m:rPr>
            <m:sty m:val="p"/>
          </m:rPr>
          <w:rPr>
            <w:rFonts w:ascii="Cambria Math" w:eastAsia="Times New Roman" w:hAnsi="Cambria Math" w:cs="Times New Roman"/>
            <w:lang w:val="en-US"/>
          </w:rPr>
          <m:t>)</m:t>
        </m:r>
      </m:oMath>
      <w:r w:rsidRPr="002E6443">
        <w:rPr>
          <w:rFonts w:ascii="CG Times" w:eastAsia="Times New Roman" w:hAnsi="CG Times" w:cs="Times New Roman"/>
          <w:lang w:val="en-US"/>
        </w:rPr>
        <w:t xml:space="preserve"> are explored. Ambiguity averse </w:t>
      </w:r>
      <m:oMath>
        <m:d>
          <m:dPr>
            <m:ctrlPr>
              <w:rPr>
                <w:rFonts w:ascii="Cambria Math" w:eastAsia="Times New Roman" w:hAnsi="Cambria Math" w:cs="Times New Roman"/>
                <w:i/>
                <w:lang w:val="en-US"/>
              </w:rPr>
            </m:ctrlPr>
          </m:dPr>
          <m:e>
            <m:r>
              <w:rPr>
                <w:rFonts w:ascii="Cambria Math" w:eastAsia="Times New Roman" w:hAnsi="Cambria Math" w:cs="Times New Roman"/>
                <w:lang w:val="en-US"/>
              </w:rPr>
              <m:t>α=0.9</m:t>
            </m:r>
          </m:e>
        </m:d>
      </m:oMath>
      <w:r w:rsidRPr="002E6443">
        <w:rPr>
          <w:rFonts w:ascii="CG Times" w:eastAsia="Times New Roman" w:hAnsi="CG Times" w:cs="Times New Roman"/>
          <w:lang w:val="en-US"/>
        </w:rPr>
        <w:t xml:space="preserve">, ambiguity neutral </w:t>
      </w:r>
      <m:oMath>
        <m:d>
          <m:dPr>
            <m:ctrlPr>
              <w:rPr>
                <w:rFonts w:ascii="Cambria Math" w:eastAsia="Times New Roman" w:hAnsi="Cambria Math" w:cs="Times New Roman"/>
                <w:i/>
                <w:lang w:val="en-US"/>
              </w:rPr>
            </m:ctrlPr>
          </m:dPr>
          <m:e>
            <m:r>
              <w:rPr>
                <w:rFonts w:ascii="Cambria Math" w:eastAsia="Times New Roman" w:hAnsi="Cambria Math" w:cs="Times New Roman"/>
                <w:lang w:val="en-US"/>
              </w:rPr>
              <m:t>α=0.5</m:t>
            </m:r>
          </m:e>
        </m:d>
      </m:oMath>
      <w:r w:rsidRPr="002E6443">
        <w:rPr>
          <w:rFonts w:ascii="CG Times" w:eastAsia="Times New Roman" w:hAnsi="CG Times" w:cs="Times New Roman"/>
          <w:lang w:val="en-US"/>
        </w:rPr>
        <w:t xml:space="preserve">, and ambiguity loving </w:t>
      </w:r>
      <m:oMath>
        <m:d>
          <m:dPr>
            <m:ctrlPr>
              <w:rPr>
                <w:rFonts w:ascii="Cambria Math" w:eastAsia="Times New Roman" w:hAnsi="Cambria Math" w:cs="Times New Roman"/>
                <w:i/>
                <w:lang w:val="en-US"/>
              </w:rPr>
            </m:ctrlPr>
          </m:dPr>
          <m:e>
            <m:r>
              <w:rPr>
                <w:rFonts w:ascii="Cambria Math" w:eastAsia="Times New Roman" w:hAnsi="Cambria Math" w:cs="Times New Roman"/>
                <w:lang w:val="en-US"/>
              </w:rPr>
              <m:t>α=0.1</m:t>
            </m:r>
          </m:e>
        </m:d>
      </m:oMath>
      <w:r w:rsidRPr="002E6443">
        <w:rPr>
          <w:rFonts w:ascii="CG Times" w:eastAsia="Times New Roman" w:hAnsi="CG Times" w:cs="Times New Roman"/>
          <w:lang w:val="en-US"/>
        </w:rPr>
        <w:t xml:space="preserve"> behavior are analyzed </w:t>
      </w:r>
      <w:r w:rsidRPr="002E6443">
        <w:rPr>
          <w:rFonts w:ascii="CG Times" w:eastAsia="Times New Roman" w:hAnsi="CG Times" w:cs="Times New Roman"/>
          <w:szCs w:val="20"/>
          <w:lang w:val="en-US"/>
        </w:rPr>
        <w:fldChar w:fldCharType="begin"/>
      </w:r>
      <w:r w:rsidR="00B82EF5">
        <w:rPr>
          <w:rFonts w:ascii="CG Times" w:eastAsia="Times New Roman" w:hAnsi="CG Times" w:cs="Times New Roman"/>
          <w:szCs w:val="20"/>
          <w:lang w:val="en-US"/>
        </w:rPr>
        <w:instrText xml:space="preserve"> ADDIN ZOTERO_ITEM CSL_CITATION {"citationID":"L5R9XNPi","properties":{"formattedCitation":"(Couture et al. 2024)","plainCitation":"(Couture et al. 2024)","noteIndex":0},"citationItems":[{"id":128867,"uris":["http://zotero.org/users/14812719/items/4T5NG6ZT"],"itemData":{"id":128867,"type":"article-journal","abstract":"This article addresses the value of information that affects the ambiguity faced by a decision maker. Our analysis is applied to the case of a farmer whose production can be damaged by a pest attack with unknown probability, this damage being reduced if the farmer decides to use a pesticide. Early warning systems have precisely been implemented in many countries to help farmers avoid inappropriate decisions in terms of pesticide use. We investigate, both theoretically and experimentally, how farmers value these systems. We propose a two-state self-insurance model in which an $$\\alpha$$-MaxMin Expected Utility farmer may use pesticides that reduce the loss in the accident state while incurring a cost in both states. Her decision to self-insure or not depends on risk and ambiguity attitudes. We compile and compare the value of two types of information leading to a reduction of ambiguity and analyze their properties with respect to ambiguity attitude. Both types of information are valued positively if the farmer is ambiguity averse. We conduct a framed field experiment in which farmers and agricultural students have to decide whether or not to apply pesticides depending on risk, ambiguity and the associated monetary gains resulting from pesticide cost. The experimental findings support the theory. The average value of information among all participants is between €0.9/ha and €3.3/ha depending on the information gain.","container-title":"Theory and Decision","DOI":"10.1007/s11238-023-09942-y","ISSN":"1573-7187","issue":"1","journalAbbreviation":"Theory Decis","language":"en","page":"19-47","source":"Springer Link","title":"The value of information under ambiguity: a theoretical and experimental study on pest management in agriculture","title-short":"The value of information under ambiguity","volume":"96","author":[{"family":"Couture","given":"Stéphane"},{"family":"Lemarié","given":"Stéphane"},{"family":"Teyssier","given":"Sabrina"},{"family":"Toquebeuf","given":"Pascal"}],"issued":{"date-parts":[["2024",2,1]]}}}],"schema":"https://github.com/citation-style-language/schema/raw/master/csl-citation.json"} </w:instrText>
      </w:r>
      <w:r w:rsidRPr="002E6443">
        <w:rPr>
          <w:rFonts w:ascii="CG Times" w:eastAsia="Times New Roman" w:hAnsi="CG Times" w:cs="Times New Roman"/>
          <w:szCs w:val="20"/>
          <w:lang w:val="en-US"/>
        </w:rPr>
        <w:fldChar w:fldCharType="separate"/>
      </w:r>
      <w:r w:rsidR="00B82EF5" w:rsidRPr="00B82EF5">
        <w:rPr>
          <w:rFonts w:ascii="CG Times" w:hAnsi="CG Times"/>
        </w:rPr>
        <w:t>(Couture et al. 2024)</w:t>
      </w:r>
      <w:r w:rsidRPr="002E6443">
        <w:rPr>
          <w:rFonts w:ascii="CG Times" w:eastAsia="Times New Roman" w:hAnsi="CG Times" w:cs="Times New Roman"/>
          <w:szCs w:val="20"/>
          <w:lang w:val="en-US"/>
        </w:rPr>
        <w:fldChar w:fldCharType="end"/>
      </w:r>
      <w:r w:rsidRPr="002E6443">
        <w:rPr>
          <w:rFonts w:ascii="CG Times" w:eastAsia="Times New Roman" w:hAnsi="CG Times" w:cs="Times New Roman"/>
          <w:szCs w:val="20"/>
          <w:lang w:val="en-US"/>
        </w:rPr>
        <w:t>.</w:t>
      </w:r>
      <w:r w:rsidR="00B0464F">
        <w:rPr>
          <w:rFonts w:ascii="CG Times" w:eastAsia="Times New Roman" w:hAnsi="CG Times" w:cs="Times New Roman"/>
          <w:szCs w:val="20"/>
          <w:lang w:val="en-US"/>
        </w:rPr>
        <w:t xml:space="preserve"> In other words, the famer </w:t>
      </w:r>
      <w:r w:rsidR="009D0F30">
        <w:rPr>
          <w:rFonts w:ascii="CG Times" w:eastAsia="Times New Roman" w:hAnsi="CG Times" w:cs="Times New Roman"/>
          <w:szCs w:val="20"/>
          <w:lang w:val="en-US"/>
        </w:rPr>
        <w:t>is</w:t>
      </w:r>
      <w:r w:rsidR="00B0464F">
        <w:rPr>
          <w:rFonts w:ascii="CG Times" w:eastAsia="Times New Roman" w:hAnsi="CG Times" w:cs="Times New Roman"/>
          <w:szCs w:val="20"/>
          <w:lang w:val="en-US"/>
        </w:rPr>
        <w:t xml:space="preserve"> uncertain about how likely it is that th</w:t>
      </w:r>
      <w:r w:rsidR="009D0F30">
        <w:rPr>
          <w:rFonts w:ascii="CG Times" w:eastAsia="Times New Roman" w:hAnsi="CG Times" w:cs="Times New Roman"/>
          <w:szCs w:val="20"/>
          <w:lang w:val="en-US"/>
        </w:rPr>
        <w:t>e</w:t>
      </w:r>
      <w:r w:rsidR="00B0464F">
        <w:rPr>
          <w:rFonts w:ascii="CG Times" w:eastAsia="Times New Roman" w:hAnsi="CG Times" w:cs="Times New Roman"/>
          <w:szCs w:val="20"/>
          <w:lang w:val="en-US"/>
        </w:rPr>
        <w:t>y</w:t>
      </w:r>
      <w:r w:rsidR="009D0F30">
        <w:rPr>
          <w:rFonts w:ascii="CG Times" w:eastAsia="Times New Roman" w:hAnsi="CG Times" w:cs="Times New Roman"/>
          <w:szCs w:val="20"/>
          <w:lang w:val="en-US"/>
        </w:rPr>
        <w:t xml:space="preserve"> wi</w:t>
      </w:r>
      <w:r w:rsidR="00B0464F">
        <w:rPr>
          <w:rFonts w:ascii="CG Times" w:eastAsia="Times New Roman" w:hAnsi="CG Times" w:cs="Times New Roman"/>
          <w:szCs w:val="20"/>
          <w:lang w:val="en-US"/>
        </w:rPr>
        <w:t xml:space="preserve">ll </w:t>
      </w:r>
      <w:r w:rsidR="009D0F30">
        <w:rPr>
          <w:rFonts w:ascii="CG Times" w:eastAsia="Times New Roman" w:hAnsi="CG Times" w:cs="Times New Roman"/>
          <w:szCs w:val="20"/>
          <w:lang w:val="en-US"/>
        </w:rPr>
        <w:t>d</w:t>
      </w:r>
      <w:r w:rsidR="00B0464F">
        <w:rPr>
          <w:rFonts w:ascii="CG Times" w:eastAsia="Times New Roman" w:hAnsi="CG Times" w:cs="Times New Roman"/>
          <w:szCs w:val="20"/>
          <w:lang w:val="en-US"/>
        </w:rPr>
        <w:t>o w</w:t>
      </w:r>
      <w:r w:rsidR="009D0F30">
        <w:rPr>
          <w:rFonts w:ascii="CG Times" w:eastAsia="Times New Roman" w:hAnsi="CG Times" w:cs="Times New Roman"/>
          <w:szCs w:val="20"/>
          <w:lang w:val="en-US"/>
        </w:rPr>
        <w:t>o</w:t>
      </w:r>
      <w:r w:rsidR="00B0464F">
        <w:rPr>
          <w:rFonts w:ascii="CG Times" w:eastAsia="Times New Roman" w:hAnsi="CG Times" w:cs="Times New Roman"/>
          <w:szCs w:val="20"/>
          <w:lang w:val="en-US"/>
        </w:rPr>
        <w:t xml:space="preserve">rse than the reference point, and </w:t>
      </w:r>
      <w:r w:rsidR="009D0F30">
        <w:rPr>
          <w:rFonts w:ascii="CG Times" w:eastAsia="Times New Roman" w:hAnsi="CG Times" w:cs="Times New Roman"/>
          <w:szCs w:val="20"/>
          <w:lang w:val="en-US"/>
        </w:rPr>
        <w:t xml:space="preserve">high </w:t>
      </w:r>
      <w:r w:rsidR="00F16D8E">
        <w:rPr>
          <w:rFonts w:ascii="CG Times" w:eastAsia="Times New Roman" w:hAnsi="CG Times" w:cs="Times New Roman"/>
          <w:szCs w:val="20"/>
          <w:lang w:val="en-US"/>
        </w:rPr>
        <w:t xml:space="preserve">ambiguity aversion means overweighting the pessimistic end of the at uncertainty. </w:t>
      </w:r>
    </w:p>
    <w:p w14:paraId="475E37D4" w14:textId="6B6ACBB6" w:rsidR="006D1AE7" w:rsidRPr="00A070FC" w:rsidRDefault="00A23E6D" w:rsidP="006D1AE7">
      <w:pPr>
        <w:spacing w:after="120" w:line="360" w:lineRule="auto"/>
        <w:jc w:val="both"/>
        <w:rPr>
          <w:rFonts w:ascii="CG Times" w:eastAsia="Times New Roman" w:hAnsi="CG Times" w:cs="Times New Roman"/>
          <w:szCs w:val="20"/>
        </w:rPr>
      </w:pPr>
      <w:r>
        <w:rPr>
          <w:rFonts w:ascii="CG Times" w:eastAsia="Times New Roman" w:hAnsi="CG Times" w:cs="Times New Roman"/>
          <w:szCs w:val="20"/>
          <w:lang w:val="en-US"/>
        </w:rPr>
        <w:t xml:space="preserve">Ambiguity </w:t>
      </w:r>
      <w:r w:rsidR="008C52B4">
        <w:rPr>
          <w:rFonts w:ascii="CG Times" w:eastAsia="Times New Roman" w:hAnsi="CG Times" w:cs="Times New Roman"/>
          <w:szCs w:val="20"/>
          <w:lang w:val="en-US"/>
        </w:rPr>
        <w:t xml:space="preserve">refer to different outcomes when farmer use different framing. Under broad framing </w:t>
      </w:r>
      <w:r w:rsidR="00B02622">
        <w:rPr>
          <w:rFonts w:ascii="CG Times" w:eastAsia="Times New Roman" w:hAnsi="CG Times" w:cs="Times New Roman"/>
          <w:szCs w:val="20"/>
          <w:lang w:val="en-US"/>
        </w:rPr>
        <w:t>we consider the unfa</w:t>
      </w:r>
      <w:r w:rsidR="00853B5C">
        <w:rPr>
          <w:rFonts w:ascii="CG Times" w:eastAsia="Times New Roman" w:hAnsi="CG Times" w:cs="Times New Roman"/>
          <w:szCs w:val="20"/>
          <w:lang w:val="en-US"/>
        </w:rPr>
        <w:t xml:space="preserve">vorable outcome </w:t>
      </w:r>
      <w:r w:rsidR="00EB7232">
        <w:rPr>
          <w:rFonts w:ascii="CG Times" w:eastAsia="Times New Roman" w:hAnsi="CG Times" w:cs="Times New Roman"/>
          <w:szCs w:val="20"/>
          <w:lang w:val="en-US"/>
        </w:rPr>
        <w:t>(</w:t>
      </w:r>
      <w:r w:rsidR="00853B5C">
        <w:rPr>
          <w:rFonts w:ascii="CG Times" w:eastAsia="Times New Roman" w:hAnsi="CG Times" w:cs="Times New Roman"/>
          <w:szCs w:val="20"/>
          <w:lang w:val="en-US"/>
        </w:rPr>
        <w:t>low profits</w:t>
      </w:r>
      <w:r w:rsidR="00EB7232">
        <w:rPr>
          <w:rFonts w:ascii="CG Times" w:eastAsia="Times New Roman" w:hAnsi="CG Times" w:cs="Times New Roman"/>
          <w:szCs w:val="20"/>
          <w:lang w:val="en-US"/>
        </w:rPr>
        <w:t>) as profits below the expected outcome</w:t>
      </w:r>
      <w:r w:rsidR="00E03B38">
        <w:rPr>
          <w:rFonts w:ascii="CG Times" w:eastAsia="Times New Roman" w:hAnsi="CG Times" w:cs="Times New Roman"/>
          <w:szCs w:val="20"/>
          <w:lang w:val="en-US"/>
        </w:rPr>
        <w:t xml:space="preserve"> </w:t>
      </w:r>
      <m:oMath>
        <m:r>
          <w:rPr>
            <w:rFonts w:ascii="Cambria Math" w:eastAsia="Times New Roman" w:hAnsi="Cambria Math" w:cs="Times New Roman"/>
            <w:szCs w:val="20"/>
            <w:lang w:val="en-US"/>
          </w:rPr>
          <m:t>π&lt;E</m:t>
        </m:r>
        <m:d>
          <m:dPr>
            <m:ctrlPr>
              <w:rPr>
                <w:rFonts w:ascii="Cambria Math" w:eastAsia="Times New Roman" w:hAnsi="Cambria Math" w:cs="Times New Roman"/>
                <w:i/>
                <w:szCs w:val="20"/>
                <w:lang w:val="en-US"/>
              </w:rPr>
            </m:ctrlPr>
          </m:dPr>
          <m:e>
            <m:r>
              <w:rPr>
                <w:rFonts w:ascii="Cambria Math" w:eastAsia="Times New Roman" w:hAnsi="Cambria Math" w:cs="Times New Roman"/>
                <w:szCs w:val="20"/>
                <w:lang w:val="en-US"/>
              </w:rPr>
              <m:t>π</m:t>
            </m:r>
            <m:ctrlPr>
              <w:rPr>
                <w:rFonts w:ascii="Cambria Math" w:eastAsia="Times New Roman" w:hAnsi="Cambria Math" w:cs="Times New Roman"/>
                <w:szCs w:val="20"/>
                <w:lang w:val="en-US"/>
              </w:rPr>
            </m:ctrlPr>
          </m:e>
        </m:d>
      </m:oMath>
      <w:r w:rsidR="0089224F">
        <w:rPr>
          <w:rFonts w:ascii="CG Times" w:eastAsia="Times New Roman" w:hAnsi="CG Times" w:cs="Times New Roman"/>
          <w:szCs w:val="20"/>
          <w:lang w:val="en-US"/>
        </w:rPr>
        <w:t>. In this case</w:t>
      </w:r>
      <w:r w:rsidR="00B277B4">
        <w:rPr>
          <w:rFonts w:ascii="CG Times" w:eastAsia="Times New Roman" w:hAnsi="CG Times" w:cs="Times New Roman"/>
          <w:szCs w:val="20"/>
          <w:lang w:val="en-US"/>
        </w:rPr>
        <w:t xml:space="preserve"> the </w:t>
      </w:r>
      <w:r w:rsidR="009315A2">
        <w:rPr>
          <w:rFonts w:ascii="CG Times" w:eastAsia="Times New Roman" w:hAnsi="CG Times" w:cs="Times New Roman"/>
          <w:szCs w:val="20"/>
          <w:lang w:val="en-US"/>
        </w:rPr>
        <w:t xml:space="preserve">perceived </w:t>
      </w:r>
      <w:r w:rsidR="00B277B4">
        <w:rPr>
          <w:rFonts w:ascii="CG Times" w:eastAsia="Times New Roman" w:hAnsi="CG Times" w:cs="Times New Roman"/>
          <w:szCs w:val="20"/>
          <w:lang w:val="en-US"/>
        </w:rPr>
        <w:t>ambiguity</w:t>
      </w:r>
      <w:r w:rsidR="00A735E6">
        <w:rPr>
          <w:rFonts w:ascii="CG Times" w:eastAsia="Times New Roman" w:hAnsi="CG Times" w:cs="Times New Roman"/>
          <w:szCs w:val="20"/>
          <w:lang w:val="en-US"/>
        </w:rPr>
        <w:t xml:space="preserve"> </w:t>
      </w:r>
      <w:r w:rsidR="009315A2">
        <w:rPr>
          <w:rFonts w:ascii="CG Times" w:eastAsia="Times New Roman" w:hAnsi="CG Times" w:cs="Times New Roman"/>
          <w:szCs w:val="20"/>
          <w:lang w:val="en-US"/>
        </w:rPr>
        <w:t xml:space="preserve">is about whole-farm profits. Under narrow framing, the </w:t>
      </w:r>
      <w:r w:rsidR="001E5825">
        <w:rPr>
          <w:rFonts w:ascii="CG Times" w:eastAsia="Times New Roman" w:hAnsi="CG Times" w:cs="Times New Roman"/>
          <w:szCs w:val="20"/>
          <w:lang w:val="en-US"/>
        </w:rPr>
        <w:t xml:space="preserve">unfavorable outcome refers to the </w:t>
      </w:r>
      <w:r w:rsidR="00F00369">
        <w:rPr>
          <w:rFonts w:ascii="CG Times" w:eastAsia="Times New Roman" w:hAnsi="CG Times" w:cs="Times New Roman"/>
          <w:szCs w:val="20"/>
          <w:lang w:val="en-US"/>
        </w:rPr>
        <w:t>situation where</w:t>
      </w:r>
      <w:r w:rsidR="00085C5A">
        <w:rPr>
          <w:rFonts w:ascii="CG Times" w:eastAsia="Times New Roman" w:hAnsi="CG Times" w:cs="Times New Roman"/>
          <w:szCs w:val="20"/>
          <w:lang w:val="en-US"/>
        </w:rPr>
        <w:t xml:space="preserve"> profits are negative </w:t>
      </w:r>
      <m:oMath>
        <m:r>
          <w:rPr>
            <w:rFonts w:ascii="Cambria Math" w:eastAsia="Times New Roman" w:hAnsi="Cambria Math" w:cs="Times New Roman"/>
            <w:szCs w:val="20"/>
            <w:lang w:val="en-US"/>
          </w:rPr>
          <m:t>π&lt;0</m:t>
        </m:r>
      </m:oMath>
      <w:r w:rsidR="002C737A">
        <w:rPr>
          <w:rFonts w:ascii="CG Times" w:eastAsia="Times New Roman" w:hAnsi="CG Times" w:cs="Times New Roman"/>
          <w:szCs w:val="20"/>
          <w:lang w:val="en-US"/>
        </w:rPr>
        <w:t>. Here the ambiguity is about contract payoff rather than farm profits.</w:t>
      </w:r>
      <w:r w:rsidR="003F53A4">
        <w:rPr>
          <w:rFonts w:ascii="CG Times" w:eastAsia="Times New Roman" w:hAnsi="CG Times" w:cs="Times New Roman"/>
          <w:szCs w:val="20"/>
          <w:lang w:val="en-US"/>
        </w:rPr>
        <w:t xml:space="preserve"> </w:t>
      </w:r>
      <w:r w:rsidR="00D75FA2">
        <w:rPr>
          <w:rFonts w:ascii="CG Times" w:eastAsia="Times New Roman" w:hAnsi="CG Times" w:cs="Times New Roman"/>
          <w:szCs w:val="20"/>
          <w:lang w:val="en-US"/>
        </w:rPr>
        <w:t xml:space="preserve">The different ambiguity intervals </w:t>
      </w:r>
      <m:oMath>
        <m:r>
          <m:rPr>
            <m:scr m:val="script"/>
          </m:rPr>
          <w:rPr>
            <w:rFonts w:ascii="Cambria Math" w:eastAsia="Times New Roman" w:hAnsi="Cambria Math" w:cs="Times New Roman"/>
            <w:lang w:val="en-US"/>
          </w:rPr>
          <m:t>P</m:t>
        </m:r>
      </m:oMath>
      <w:r w:rsidR="00C877EC">
        <w:rPr>
          <w:rFonts w:ascii="CG Times" w:eastAsia="Times New Roman" w:hAnsi="CG Times" w:cs="Times New Roman"/>
          <w:szCs w:val="20"/>
          <w:lang w:val="en-US"/>
        </w:rPr>
        <w:t xml:space="preserve">  </w:t>
      </w:r>
      <w:r w:rsidR="00D75FA2">
        <w:rPr>
          <w:rFonts w:ascii="CG Times" w:eastAsia="Times New Roman" w:hAnsi="CG Times" w:cs="Times New Roman"/>
          <w:szCs w:val="20"/>
          <w:lang w:val="en-US"/>
        </w:rPr>
        <w:t>are derived empirically</w:t>
      </w:r>
      <w:r w:rsidR="00C877EC">
        <w:rPr>
          <w:rFonts w:ascii="CG Times" w:eastAsia="Times New Roman" w:hAnsi="CG Times" w:cs="Times New Roman"/>
          <w:szCs w:val="20"/>
          <w:lang w:val="en-US"/>
        </w:rPr>
        <w:t xml:space="preserve"> </w:t>
      </w:r>
      <w:r w:rsidR="00990870">
        <w:rPr>
          <w:rFonts w:ascii="CG Times" w:eastAsia="Times New Roman" w:hAnsi="CG Times" w:cs="Times New Roman"/>
          <w:szCs w:val="20"/>
        </w:rPr>
        <w:t xml:space="preserve">where </w:t>
      </w:r>
      <w:r w:rsidR="006D1AE7" w:rsidRPr="006D1AE7">
        <w:rPr>
          <w:rFonts w:ascii="CG Times" w:eastAsia="Times New Roman" w:hAnsi="CG Times" w:cs="Times New Roman"/>
          <w:szCs w:val="20"/>
        </w:rPr>
        <w:t xml:space="preserve">ambiguity </w:t>
      </w:r>
      <w:r w:rsidR="00990870">
        <w:rPr>
          <w:rFonts w:ascii="CG Times" w:eastAsia="Times New Roman" w:hAnsi="CG Times" w:cs="Times New Roman"/>
          <w:szCs w:val="20"/>
        </w:rPr>
        <w:t xml:space="preserve">is defined as the </w:t>
      </w:r>
      <w:r w:rsidR="006D1AE7" w:rsidRPr="006D1AE7">
        <w:rPr>
          <w:rFonts w:ascii="CG Times" w:eastAsia="Times New Roman" w:hAnsi="CG Times" w:cs="Times New Roman"/>
          <w:szCs w:val="20"/>
        </w:rPr>
        <w:t xml:space="preserve">observed variation </w:t>
      </w:r>
      <w:r w:rsidR="00990870">
        <w:rPr>
          <w:rFonts w:ascii="CG Times" w:eastAsia="Times New Roman" w:hAnsi="CG Times" w:cs="Times New Roman"/>
          <w:szCs w:val="20"/>
        </w:rPr>
        <w:t xml:space="preserve">across </w:t>
      </w:r>
      <w:r w:rsidR="006D1AE7" w:rsidRPr="006D1AE7">
        <w:rPr>
          <w:rFonts w:ascii="CG Times" w:eastAsia="Times New Roman" w:hAnsi="CG Times" w:cs="Times New Roman"/>
          <w:szCs w:val="20"/>
        </w:rPr>
        <w:t>the farm population</w:t>
      </w:r>
      <w:r w:rsidR="00F679F9">
        <w:rPr>
          <w:rFonts w:ascii="CG Times" w:eastAsia="Times New Roman" w:hAnsi="CG Times" w:cs="Times New Roman"/>
          <w:szCs w:val="20"/>
        </w:rPr>
        <w:t xml:space="preserve"> </w:t>
      </w:r>
      <w:r w:rsidR="00F679F9">
        <w:rPr>
          <w:rFonts w:ascii="CG Times" w:eastAsia="Times New Roman" w:hAnsi="CG Times" w:cs="Times New Roman"/>
          <w:szCs w:val="20"/>
        </w:rPr>
        <w:fldChar w:fldCharType="begin"/>
      </w:r>
      <w:r w:rsidR="00F679F9">
        <w:rPr>
          <w:rFonts w:ascii="CG Times" w:eastAsia="Times New Roman" w:hAnsi="CG Times" w:cs="Times New Roman"/>
          <w:szCs w:val="20"/>
        </w:rPr>
        <w:instrText xml:space="preserve"> ADDIN ZOTERO_ITEM CSL_CITATION {"citationID":"WXbT8QRM","properties":{"formattedCitation":"(Manski 2004)","plainCitation":"(Manski 2004)","noteIndex":0},"citationItems":[{"id":139051,"uris":["http://zotero.org/users/14812719/items/FS4YVVJ6"],"itemData":{"id":139051,"type":"article-journal","abstract":"To predict choice behavior, the standard practice of economists has been to infer decision processes from data on observed choices. When decision makers act with partial information, economists typically assume that persons form probabilistic expectations for unknown quantities and maximize expected utility. Observed choices may be consistent with many alternative specifications of preferences and expectations, so researchers commonly assume particular sorts of expectations. It would be better to measure expectations in the form called for by modern economic theory; that is, subjective probabilities. Data on expectations can be used to relax or validate assumptions about expectations. Since the early 1990's, economists have increasingly undertaken to elicit from survey respondents probabilistic expectations of significant personal events. This article discusses the history underlying the new literature, describes some of what has been learned thus far, and looks ahead towards making further progress.","container-title":"Econometrica","DOI":"10.1111/j.1468-0262.2004.00537.x","ISSN":"1468-0262","issue":"5","language":"en","note":"_eprint: https://onlinelibrary.wiley.com/doi/pdf/10.1111/j.1468-0262.2004.00537.x","page":"1329-1376","source":"Wiley Online Library","title":"Measuring Expectations","volume":"72","author":[{"family":"Manski","given":"Charles F."}],"issued":{"date-parts":[["2004"]]}}}],"schema":"https://github.com/citation-style-language/schema/raw/master/csl-citation.json"} </w:instrText>
      </w:r>
      <w:r w:rsidR="00F679F9">
        <w:rPr>
          <w:rFonts w:ascii="CG Times" w:eastAsia="Times New Roman" w:hAnsi="CG Times" w:cs="Times New Roman"/>
          <w:szCs w:val="20"/>
        </w:rPr>
        <w:fldChar w:fldCharType="separate"/>
      </w:r>
      <w:r w:rsidR="00F679F9" w:rsidRPr="00F679F9">
        <w:rPr>
          <w:rFonts w:ascii="CG Times" w:hAnsi="CG Times"/>
        </w:rPr>
        <w:t>(Manski 2004)</w:t>
      </w:r>
      <w:r w:rsidR="00F679F9">
        <w:rPr>
          <w:rFonts w:ascii="CG Times" w:eastAsia="Times New Roman" w:hAnsi="CG Times" w:cs="Times New Roman"/>
          <w:szCs w:val="20"/>
        </w:rPr>
        <w:fldChar w:fldCharType="end"/>
      </w:r>
      <w:r w:rsidR="006D1AE7" w:rsidRPr="006D1AE7">
        <w:rPr>
          <w:rFonts w:ascii="CG Times" w:eastAsia="Times New Roman" w:hAnsi="CG Times" w:cs="Times New Roman"/>
          <w:szCs w:val="20"/>
        </w:rPr>
        <w:t>. For each farm</w:t>
      </w:r>
      <w:r w:rsidR="00990870">
        <w:rPr>
          <w:rFonts w:ascii="CG Times" w:eastAsia="Times New Roman" w:hAnsi="CG Times" w:cs="Times New Roman"/>
          <w:szCs w:val="20"/>
        </w:rPr>
        <w:t xml:space="preserve"> </w:t>
      </w:r>
      <m:oMath>
        <m:r>
          <w:rPr>
            <w:rFonts w:ascii="Cambria Math" w:eastAsia="Times New Roman" w:hAnsi="Cambria Math" w:cs="Times New Roman"/>
            <w:szCs w:val="20"/>
          </w:rPr>
          <m:t>i</m:t>
        </m:r>
      </m:oMath>
      <w:r w:rsidR="006D1AE7" w:rsidRPr="006D1AE7">
        <w:rPr>
          <w:rFonts w:ascii="CG Times" w:eastAsia="Times New Roman" w:hAnsi="CG Times" w:cs="Times New Roman"/>
          <w:szCs w:val="20"/>
        </w:rPr>
        <w:t xml:space="preserve">, we first calculate a point estimate of the probability of the unfavorable outcome </w:t>
      </w:r>
      <m:oMath>
        <m:d>
          <m:dPr>
            <m:ctrlPr>
              <w:rPr>
                <w:rFonts w:ascii="Cambria Math" w:eastAsia="Times New Roman" w:hAnsi="Cambria Math" w:cs="Times New Roman"/>
                <w:i/>
                <w:szCs w:val="20"/>
              </w:rPr>
            </m:ctrlPr>
          </m:dPr>
          <m:e>
            <m:acc>
              <m:accPr>
                <m:ctrlPr>
                  <w:rPr>
                    <w:rFonts w:ascii="Cambria Math" w:eastAsia="Times New Roman" w:hAnsi="Cambria Math" w:cs="Times New Roman"/>
                    <w:szCs w:val="20"/>
                  </w:rPr>
                </m:ctrlPr>
              </m:accPr>
              <m:e>
                <m:sSub>
                  <m:sSubPr>
                    <m:ctrlPr>
                      <w:rPr>
                        <w:rFonts w:ascii="Cambria Math" w:eastAsia="Times New Roman" w:hAnsi="Cambria Math" w:cs="Times New Roman"/>
                        <w:i/>
                        <w:szCs w:val="20"/>
                      </w:rPr>
                    </m:ctrlPr>
                  </m:sSubPr>
                  <m:e>
                    <m:r>
                      <w:rPr>
                        <w:rFonts w:ascii="Cambria Math" w:eastAsia="Times New Roman" w:hAnsi="Cambria Math" w:cs="Times New Roman"/>
                        <w:szCs w:val="20"/>
                      </w:rPr>
                      <m:t>p</m:t>
                    </m:r>
                    <m:ctrlPr>
                      <w:rPr>
                        <w:rFonts w:ascii="Cambria Math" w:eastAsia="Times New Roman" w:hAnsi="Cambria Math" w:cs="Times New Roman"/>
                        <w:szCs w:val="20"/>
                      </w:rPr>
                    </m:ctrlPr>
                  </m:e>
                  <m:sub>
                    <m:r>
                      <w:rPr>
                        <w:rFonts w:ascii="Cambria Math" w:eastAsia="Times New Roman" w:hAnsi="Cambria Math" w:cs="Times New Roman"/>
                        <w:szCs w:val="20"/>
                      </w:rPr>
                      <m:t>i</m:t>
                    </m:r>
                  </m:sub>
                </m:sSub>
              </m:e>
            </m:acc>
          </m:e>
        </m:d>
      </m:oMath>
      <w:r w:rsidR="006D1AE7" w:rsidRPr="006D1AE7">
        <w:rPr>
          <w:rFonts w:ascii="CG Times" w:eastAsia="Times New Roman" w:hAnsi="CG Times" w:cs="Times New Roman"/>
          <w:szCs w:val="20"/>
        </w:rPr>
        <w:t xml:space="preserve">. The ambiguity set </w:t>
      </w:r>
      <m:oMath>
        <m:r>
          <m:rPr>
            <m:scr m:val="script"/>
          </m:rPr>
          <w:rPr>
            <w:rFonts w:ascii="Cambria Math" w:eastAsia="Times New Roman" w:hAnsi="Cambria Math" w:cs="Times New Roman"/>
            <w:lang w:val="en-US"/>
          </w:rPr>
          <m:t>P=</m:t>
        </m:r>
        <m:d>
          <m:dPr>
            <m:begChr m:val="["/>
            <m:endChr m:val="]"/>
            <m:ctrlPr>
              <w:rPr>
                <w:rFonts w:ascii="Cambria Math" w:eastAsia="Times New Roman" w:hAnsi="Cambria Math" w:cs="Times New Roman"/>
                <w:i/>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min</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max</m:t>
                </m:r>
              </m:sub>
            </m:sSub>
          </m:e>
        </m:d>
      </m:oMath>
      <w:r w:rsidR="00985910" w:rsidRPr="002E6443">
        <w:rPr>
          <w:rFonts w:ascii="CG Times" w:eastAsia="Times New Roman" w:hAnsi="CG Times" w:cs="Times New Roman"/>
          <w:szCs w:val="20"/>
          <w:lang w:val="en-US"/>
        </w:rPr>
        <w:t xml:space="preserve"> </w:t>
      </w:r>
      <w:r w:rsidR="006D1AE7" w:rsidRPr="006D1AE7">
        <w:rPr>
          <w:rFonts w:ascii="CG Times" w:eastAsia="Times New Roman" w:hAnsi="CG Times" w:cs="Times New Roman"/>
          <w:szCs w:val="20"/>
        </w:rPr>
        <w:t xml:space="preserve"> is then constructed using the quantiles of the resulting distribution of </w:t>
      </w:r>
      <m:oMath>
        <m:acc>
          <m:accPr>
            <m:ctrlPr>
              <w:rPr>
                <w:rFonts w:ascii="Cambria Math" w:eastAsia="Times New Roman" w:hAnsi="Cambria Math" w:cs="Times New Roman"/>
                <w:szCs w:val="20"/>
              </w:rPr>
            </m:ctrlPr>
          </m:accPr>
          <m:e>
            <m:r>
              <w:rPr>
                <w:rFonts w:ascii="Cambria Math" w:eastAsia="Times New Roman" w:hAnsi="Cambria Math" w:cs="Times New Roman"/>
                <w:szCs w:val="20"/>
              </w:rPr>
              <m:t>p</m:t>
            </m:r>
          </m:e>
        </m:acc>
      </m:oMath>
      <w:r w:rsidR="006D1AE7" w:rsidRPr="006D1AE7">
        <w:rPr>
          <w:rFonts w:ascii="CG Times" w:eastAsia="Times New Roman" w:hAnsi="CG Times" w:cs="Times New Roman"/>
          <w:szCs w:val="20"/>
        </w:rPr>
        <w:t xml:space="preserve"> across all farms. Specifically, we define the bounds as:</w:t>
      </w:r>
      <w:r w:rsidR="001F067F">
        <w:rPr>
          <w:rFonts w:ascii="CG Times" w:eastAsia="Times New Roman" w:hAnsi="CG Times" w:cs="Times New Roman"/>
          <w:szCs w:val="20"/>
        </w:rPr>
        <w:t xml:space="preserve">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min</m:t>
            </m:r>
          </m:sub>
        </m:sSub>
        <m:r>
          <w:rPr>
            <w:rFonts w:ascii="Cambria Math" w:eastAsia="Times New Roman" w:hAnsi="Cambria Math" w:cs="Times New Roman"/>
            <w:szCs w:val="20"/>
          </w:rPr>
          <m:t>=Q</m:t>
        </m:r>
        <m:d>
          <m:dPr>
            <m:ctrlPr>
              <w:rPr>
                <w:rFonts w:ascii="Cambria Math" w:eastAsia="Times New Roman" w:hAnsi="Cambria Math" w:cs="Times New Roman"/>
                <w:i/>
                <w:szCs w:val="20"/>
              </w:rPr>
            </m:ctrlPr>
          </m:dPr>
          <m:e>
            <m:acc>
              <m:accPr>
                <m:ctrlPr>
                  <w:rPr>
                    <w:rFonts w:ascii="Cambria Math" w:eastAsia="Times New Roman" w:hAnsi="Cambria Math" w:cs="Times New Roman"/>
                    <w:szCs w:val="20"/>
                  </w:rPr>
                </m:ctrlPr>
              </m:accPr>
              <m:e>
                <m:r>
                  <w:rPr>
                    <w:rFonts w:ascii="Cambria Math" w:eastAsia="Times New Roman" w:hAnsi="Cambria Math" w:cs="Times New Roman"/>
                    <w:szCs w:val="20"/>
                  </w:rPr>
                  <m:t>p</m:t>
                </m:r>
              </m:e>
            </m:acc>
            <m:r>
              <w:rPr>
                <w:rFonts w:ascii="Cambria Math" w:eastAsia="Times New Roman" w:hAnsi="Cambria Math" w:cs="Times New Roman"/>
                <w:szCs w:val="20"/>
              </w:rPr>
              <m:t>,</m:t>
            </m:r>
            <m:r>
              <m:rPr>
                <m:sty m:val="p"/>
              </m:rPr>
              <w:rPr>
                <w:rFonts w:ascii="Cambria Math" w:eastAsia="Times New Roman" w:hAnsi="Cambria Math" w:cs="Times New Roman"/>
                <w:szCs w:val="20"/>
              </w:rPr>
              <m:t>κ</m:t>
            </m:r>
            <m:r>
              <m:rPr>
                <m:lit/>
              </m:rPr>
              <w:rPr>
                <w:rFonts w:ascii="Cambria Math" w:eastAsia="Times New Roman" w:hAnsi="Cambria Math" w:cs="Times New Roman"/>
                <w:szCs w:val="20"/>
              </w:rPr>
              <m:t>/</m:t>
            </m:r>
            <m:r>
              <w:rPr>
                <w:rFonts w:ascii="Cambria Math" w:eastAsia="Times New Roman" w:hAnsi="Cambria Math" w:cs="Times New Roman"/>
                <w:szCs w:val="20"/>
              </w:rPr>
              <m:t>2</m:t>
            </m:r>
          </m:e>
        </m:d>
        <m:r>
          <w:rPr>
            <w:rFonts w:ascii="Cambria Math" w:eastAsia="Times New Roman" w:hAnsi="Cambria Math" w:cs="Times New Roman"/>
            <w:szCs w:val="20"/>
          </w:rPr>
          <m:t>,</m:t>
        </m:r>
        <m:r>
          <m:rPr>
            <m:sty m:val="p"/>
          </m:rPr>
          <w:rPr>
            <w:rFonts w:ascii="Cambria Math" w:eastAsia="Times New Roman" w:hAnsi="Cambria Math" w:cs="Times New Roman"/>
            <w:szCs w:val="20"/>
          </w:rPr>
          <m:t> </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max</m:t>
            </m:r>
          </m:sub>
        </m:sSub>
        <m:r>
          <w:rPr>
            <w:rFonts w:ascii="Cambria Math" w:eastAsia="Times New Roman" w:hAnsi="Cambria Math" w:cs="Times New Roman"/>
            <w:szCs w:val="20"/>
          </w:rPr>
          <m:t>=Q</m:t>
        </m:r>
        <m:d>
          <m:dPr>
            <m:ctrlPr>
              <w:rPr>
                <w:rFonts w:ascii="Cambria Math" w:eastAsia="Times New Roman" w:hAnsi="Cambria Math" w:cs="Times New Roman"/>
                <w:i/>
                <w:szCs w:val="20"/>
              </w:rPr>
            </m:ctrlPr>
          </m:dPr>
          <m:e>
            <m:acc>
              <m:accPr>
                <m:ctrlPr>
                  <w:rPr>
                    <w:rFonts w:ascii="Cambria Math" w:eastAsia="Times New Roman" w:hAnsi="Cambria Math" w:cs="Times New Roman"/>
                    <w:szCs w:val="20"/>
                  </w:rPr>
                </m:ctrlPr>
              </m:accPr>
              <m:e>
                <m:r>
                  <w:rPr>
                    <w:rFonts w:ascii="Cambria Math" w:eastAsia="Times New Roman" w:hAnsi="Cambria Math" w:cs="Times New Roman"/>
                    <w:szCs w:val="20"/>
                  </w:rPr>
                  <m:t>p</m:t>
                </m:r>
              </m:e>
            </m:acc>
            <m:r>
              <w:rPr>
                <w:rFonts w:ascii="Cambria Math" w:eastAsia="Times New Roman" w:hAnsi="Cambria Math" w:cs="Times New Roman"/>
                <w:szCs w:val="20"/>
              </w:rPr>
              <m:t>,1-</m:t>
            </m:r>
            <m:r>
              <m:rPr>
                <m:sty m:val="p"/>
              </m:rPr>
              <w:rPr>
                <w:rFonts w:ascii="Cambria Math" w:eastAsia="Times New Roman" w:hAnsi="Cambria Math" w:cs="Times New Roman"/>
                <w:szCs w:val="20"/>
              </w:rPr>
              <m:t>κ</m:t>
            </m:r>
            <m:r>
              <m:rPr>
                <m:lit/>
              </m:rPr>
              <w:rPr>
                <w:rFonts w:ascii="Cambria Math" w:eastAsia="Times New Roman" w:hAnsi="Cambria Math" w:cs="Times New Roman"/>
                <w:szCs w:val="20"/>
              </w:rPr>
              <m:t>/</m:t>
            </m:r>
            <m:r>
              <w:rPr>
                <w:rFonts w:ascii="Cambria Math" w:eastAsia="Times New Roman" w:hAnsi="Cambria Math" w:cs="Times New Roman"/>
                <w:szCs w:val="20"/>
              </w:rPr>
              <m:t>2</m:t>
            </m:r>
          </m:e>
        </m:d>
      </m:oMath>
      <w:r w:rsidR="001F067F">
        <w:rPr>
          <w:rFonts w:ascii="CG Times" w:eastAsia="Times New Roman" w:hAnsi="CG Times" w:cs="Times New Roman"/>
          <w:szCs w:val="20"/>
        </w:rPr>
        <w:t xml:space="preserve"> </w:t>
      </w:r>
      <w:r w:rsidR="006D1AE7" w:rsidRPr="006D1AE7">
        <w:rPr>
          <w:rFonts w:ascii="CG Times" w:eastAsia="Times New Roman" w:hAnsi="CG Times" w:cs="Times New Roman"/>
          <w:szCs w:val="20"/>
        </w:rPr>
        <w:t xml:space="preserve">where </w:t>
      </w:r>
      <m:oMath>
        <m:r>
          <w:rPr>
            <w:rFonts w:ascii="Cambria Math" w:eastAsia="Times New Roman" w:hAnsi="Cambria Math" w:cs="Times New Roman"/>
            <w:szCs w:val="20"/>
          </w:rPr>
          <m:t>Q</m:t>
        </m:r>
      </m:oMath>
      <w:r w:rsidR="006D1AE7" w:rsidRPr="006D1AE7">
        <w:rPr>
          <w:rFonts w:ascii="CG Times" w:eastAsia="Times New Roman" w:hAnsi="CG Times" w:cs="Times New Roman"/>
          <w:szCs w:val="20"/>
        </w:rPr>
        <w:t xml:space="preserve"> is the quantile function and </w:t>
      </w:r>
      <m:oMath>
        <m:r>
          <m:rPr>
            <m:sty m:val="p"/>
          </m:rPr>
          <w:rPr>
            <w:rFonts w:ascii="Cambria Math" w:eastAsia="Times New Roman" w:hAnsi="Cambria Math" w:cs="Times New Roman"/>
            <w:szCs w:val="20"/>
          </w:rPr>
          <m:t>κ</m:t>
        </m:r>
      </m:oMath>
      <w:r w:rsidR="006D1AE7" w:rsidRPr="006D1AE7">
        <w:rPr>
          <w:rFonts w:ascii="CG Times" w:eastAsia="Times New Roman" w:hAnsi="CG Times" w:cs="Times New Roman"/>
          <w:szCs w:val="20"/>
        </w:rPr>
        <w:t xml:space="preserve"> represents the objective level of ambiguity. This method reflects a decision-maker who bases their set of plausible beliefs on the "social uncertainty" or the diversity of outcomes experienced by their peers</w:t>
      </w:r>
      <w:r w:rsidR="00B82EF5">
        <w:rPr>
          <w:rFonts w:ascii="CG Times" w:eastAsia="Times New Roman" w:hAnsi="CG Times" w:cs="Times New Roman"/>
          <w:szCs w:val="20"/>
        </w:rPr>
        <w:t xml:space="preserve"> </w:t>
      </w:r>
      <w:r w:rsidR="00B82EF5">
        <w:rPr>
          <w:rFonts w:ascii="CG Times" w:eastAsia="Times New Roman" w:hAnsi="CG Times" w:cs="Times New Roman"/>
          <w:szCs w:val="20"/>
        </w:rPr>
        <w:fldChar w:fldCharType="begin"/>
      </w:r>
      <w:r w:rsidR="00B82EF5">
        <w:rPr>
          <w:rFonts w:ascii="CG Times" w:eastAsia="Times New Roman" w:hAnsi="CG Times" w:cs="Times New Roman"/>
          <w:szCs w:val="20"/>
        </w:rPr>
        <w:instrText xml:space="preserve"> ADDIN ZOTERO_ITEM CSL_CITATION {"citationID":"x7PsPDeD","properties":{"formattedCitation":"(G\\uc0\\u228{}rdenfors and Sahlin 1982)","plainCitation":"(Gärdenfors and Sahlin 1982)","noteIndex":0},"citationItems":[{"id":139042,"uris":["http://zotero.org/users/14812719/items/KEHTTGCC"],"itemData":{"id":139042,"type":"article-journal","container-title":"Synthese","DOI":"10.1007/BF00486156","ISSN":"1573-0964","issue":"3","journalAbbreviation":"Synthese","language":"en","page":"361-386","source":"Springer Link","title":"Unreliable probabilities, risk taking, and decision making","volume":"53","author":[{"family":"Gärdenfors","given":"Peter"},{"family":"Sahlin","given":"Nils-Eric"}],"issued":{"date-parts":[["1982",12,1]]}}}],"schema":"https://github.com/citation-style-language/schema/raw/master/csl-citation.json"} </w:instrText>
      </w:r>
      <w:r w:rsidR="00B82EF5">
        <w:rPr>
          <w:rFonts w:ascii="CG Times" w:eastAsia="Times New Roman" w:hAnsi="CG Times" w:cs="Times New Roman"/>
          <w:szCs w:val="20"/>
        </w:rPr>
        <w:fldChar w:fldCharType="separate"/>
      </w:r>
      <w:r w:rsidR="00B82EF5" w:rsidRPr="00B82EF5">
        <w:rPr>
          <w:rFonts w:ascii="CG Times" w:hAnsi="CG Times" w:cs="Times New Roman"/>
          <w:szCs w:val="24"/>
        </w:rPr>
        <w:t>(Gärdenfors and Sahlin 1982)</w:t>
      </w:r>
      <w:r w:rsidR="00B82EF5">
        <w:rPr>
          <w:rFonts w:ascii="CG Times" w:eastAsia="Times New Roman" w:hAnsi="CG Times" w:cs="Times New Roman"/>
          <w:szCs w:val="20"/>
        </w:rPr>
        <w:fldChar w:fldCharType="end"/>
      </w:r>
      <w:r w:rsidR="006D1AE7" w:rsidRPr="006D1AE7">
        <w:rPr>
          <w:rFonts w:ascii="CG Times" w:eastAsia="Times New Roman" w:hAnsi="CG Times" w:cs="Times New Roman"/>
          <w:szCs w:val="20"/>
        </w:rPr>
        <w:t>. In our sensitivity analysis, we vary the width of the set by adjusting the percentile range</w:t>
      </w:r>
      <w:r w:rsidR="005C3642">
        <w:rPr>
          <w:rFonts w:ascii="CG Times" w:eastAsia="Times New Roman" w:hAnsi="CG Times" w:cs="Times New Roman"/>
          <w:szCs w:val="20"/>
        </w:rPr>
        <w:t>,</w:t>
      </w:r>
      <w:r w:rsidR="006D1AE7" w:rsidRPr="006D1AE7">
        <w:rPr>
          <w:rFonts w:ascii="CG Times" w:eastAsia="Times New Roman" w:hAnsi="CG Times" w:cs="Times New Roman"/>
          <w:szCs w:val="20"/>
        </w:rPr>
        <w:t xml:space="preserve"> </w:t>
      </w:r>
      <w:r w:rsidR="005C3642" w:rsidRPr="006D1AE7">
        <w:rPr>
          <w:rFonts w:ascii="CG Times" w:eastAsia="Times New Roman" w:hAnsi="CG Times" w:cs="Times New Roman"/>
          <w:szCs w:val="20"/>
        </w:rPr>
        <w:t xml:space="preserve">allowing us to simulate how different degrees of observed </w:t>
      </w:r>
      <w:r w:rsidR="005C3642">
        <w:rPr>
          <w:rFonts w:ascii="CG Times" w:eastAsia="Times New Roman" w:hAnsi="CG Times" w:cs="Times New Roman"/>
          <w:szCs w:val="20"/>
        </w:rPr>
        <w:t>ambiguity</w:t>
      </w:r>
      <w:r w:rsidR="005C3642" w:rsidRPr="006D1AE7">
        <w:rPr>
          <w:rFonts w:ascii="CG Times" w:eastAsia="Times New Roman" w:hAnsi="CG Times" w:cs="Times New Roman"/>
          <w:szCs w:val="20"/>
        </w:rPr>
        <w:t xml:space="preserve"> influence the farmer’s </w:t>
      </w:r>
      <m:oMath>
        <m:r>
          <m:rPr>
            <m:sty m:val="p"/>
          </m:rPr>
          <w:rPr>
            <w:rFonts w:ascii="Cambria Math" w:eastAsia="Times New Roman" w:hAnsi="Cambria Math" w:cs="Times New Roman"/>
            <w:szCs w:val="20"/>
          </w:rPr>
          <m:t>α</m:t>
        </m:r>
      </m:oMath>
      <w:r w:rsidR="005C3642" w:rsidRPr="006D1AE7">
        <w:rPr>
          <w:rFonts w:ascii="CG Times" w:eastAsia="Times New Roman" w:hAnsi="CG Times" w:cs="Times New Roman"/>
          <w:szCs w:val="20"/>
        </w:rPr>
        <w:t xml:space="preserve">EU-based decisions. </w:t>
      </w:r>
      <w:r w:rsidR="005C3642">
        <w:rPr>
          <w:rFonts w:ascii="CG Times" w:eastAsia="Times New Roman" w:hAnsi="CG Times" w:cs="Times New Roman"/>
          <w:szCs w:val="20"/>
        </w:rPr>
        <w:t>Practically, we compare</w:t>
      </w:r>
      <w:r w:rsidR="006D1AE7" w:rsidRPr="006D1AE7">
        <w:rPr>
          <w:rFonts w:ascii="CG Times" w:eastAsia="Times New Roman" w:hAnsi="CG Times" w:cs="Times New Roman"/>
          <w:szCs w:val="20"/>
        </w:rPr>
        <w:t xml:space="preserve"> the interquartile range </w:t>
      </w:r>
      <w:r w:rsidR="005C3642">
        <w:rPr>
          <w:rFonts w:ascii="CG Times" w:eastAsia="Times New Roman" w:hAnsi="CG Times" w:cs="Times New Roman"/>
          <w:szCs w:val="20"/>
        </w:rPr>
        <w:t xml:space="preserve">(for </w:t>
      </w:r>
      <m:oMath>
        <m:r>
          <m:rPr>
            <m:sty m:val="p"/>
          </m:rPr>
          <w:rPr>
            <w:rFonts w:ascii="Cambria Math" w:eastAsia="Times New Roman" w:hAnsi="Cambria Math" w:cs="Times New Roman"/>
            <w:szCs w:val="20"/>
          </w:rPr>
          <m:t>κ</m:t>
        </m:r>
        <m:r>
          <w:rPr>
            <w:rFonts w:ascii="Cambria Math" w:eastAsia="Times New Roman" w:hAnsi="Cambria Math" w:cs="Times New Roman"/>
            <w:szCs w:val="20"/>
          </w:rPr>
          <m:t>=0.5</m:t>
        </m:r>
      </m:oMath>
      <w:r w:rsidR="0091347B">
        <w:rPr>
          <w:rFonts w:ascii="CG Times" w:eastAsia="Times New Roman" w:hAnsi="CG Times" w:cs="Times New Roman"/>
          <w:iCs/>
          <w:szCs w:val="20"/>
        </w:rPr>
        <w:t>)</w:t>
      </w:r>
      <w:r w:rsidR="005C3642">
        <w:rPr>
          <w:rFonts w:ascii="CG Times" w:eastAsia="Times New Roman" w:hAnsi="CG Times" w:cs="Times New Roman"/>
          <w:szCs w:val="20"/>
        </w:rPr>
        <w:t xml:space="preserve"> </w:t>
      </w:r>
      <w:r w:rsidR="006D1AE7" w:rsidRPr="006D1AE7">
        <w:rPr>
          <w:rFonts w:ascii="CG Times" w:eastAsia="Times New Roman" w:hAnsi="CG Times" w:cs="Times New Roman"/>
          <w:szCs w:val="20"/>
        </w:rPr>
        <w:t xml:space="preserve">against </w:t>
      </w:r>
      <w:r w:rsidR="00236B4A">
        <w:rPr>
          <w:rFonts w:ascii="CG Times" w:eastAsia="Times New Roman" w:hAnsi="CG Times" w:cs="Times New Roman"/>
          <w:szCs w:val="20"/>
        </w:rPr>
        <w:t>a</w:t>
      </w:r>
      <w:r w:rsidR="006D1AE7" w:rsidRPr="006D1AE7">
        <w:rPr>
          <w:rFonts w:ascii="CG Times" w:eastAsia="Times New Roman" w:hAnsi="CG Times" w:cs="Times New Roman"/>
          <w:szCs w:val="20"/>
        </w:rPr>
        <w:t xml:space="preserve"> </w:t>
      </w:r>
      <w:r w:rsidR="00236B4A">
        <w:rPr>
          <w:rFonts w:ascii="CG Times" w:eastAsia="Times New Roman" w:hAnsi="CG Times" w:cs="Times New Roman"/>
          <w:szCs w:val="20"/>
        </w:rPr>
        <w:t>narrower 4</w:t>
      </w:r>
      <w:r w:rsidR="00DD0AEA">
        <w:rPr>
          <w:rFonts w:ascii="CG Times" w:eastAsia="Times New Roman" w:hAnsi="CG Times" w:cs="Times New Roman"/>
          <w:szCs w:val="20"/>
        </w:rPr>
        <w:t>5th-55th</w:t>
      </w:r>
      <w:r w:rsidR="0091347B">
        <w:rPr>
          <w:rFonts w:ascii="CG Times" w:eastAsia="Times New Roman" w:hAnsi="CG Times" w:cs="Times New Roman"/>
          <w:szCs w:val="20"/>
        </w:rPr>
        <w:t xml:space="preserve"> (</w:t>
      </w:r>
      <m:oMath>
        <m:r>
          <m:rPr>
            <m:sty m:val="p"/>
          </m:rPr>
          <w:rPr>
            <w:rFonts w:ascii="Cambria Math" w:eastAsia="Times New Roman" w:hAnsi="Cambria Math" w:cs="Times New Roman"/>
            <w:szCs w:val="20"/>
          </w:rPr>
          <m:t>κ</m:t>
        </m:r>
        <m:r>
          <w:rPr>
            <w:rFonts w:ascii="Cambria Math" w:eastAsia="Times New Roman" w:hAnsi="Cambria Math" w:cs="Times New Roman"/>
            <w:szCs w:val="20"/>
          </w:rPr>
          <m:t>=0.9</m:t>
        </m:r>
      </m:oMath>
      <w:r w:rsidR="00793BFD">
        <w:rPr>
          <w:rFonts w:ascii="CG Times" w:eastAsia="Times New Roman" w:hAnsi="CG Times" w:cs="Times New Roman"/>
          <w:iCs/>
          <w:szCs w:val="20"/>
        </w:rPr>
        <w:t>)</w:t>
      </w:r>
      <w:r w:rsidR="00526316">
        <w:rPr>
          <w:rFonts w:ascii="CG Times" w:eastAsia="Times New Roman" w:hAnsi="CG Times" w:cs="Times New Roman"/>
          <w:szCs w:val="20"/>
        </w:rPr>
        <w:t>,</w:t>
      </w:r>
      <w:r w:rsidR="00DD0AEA">
        <w:rPr>
          <w:rFonts w:ascii="CG Times" w:eastAsia="Times New Roman" w:hAnsi="CG Times" w:cs="Times New Roman"/>
          <w:szCs w:val="20"/>
        </w:rPr>
        <w:t xml:space="preserve"> a</w:t>
      </w:r>
      <w:r w:rsidR="00A92CE7">
        <w:rPr>
          <w:rFonts w:ascii="CG Times" w:eastAsia="Times New Roman" w:hAnsi="CG Times" w:cs="Times New Roman"/>
          <w:szCs w:val="20"/>
        </w:rPr>
        <w:t xml:space="preserve">nd a </w:t>
      </w:r>
      <w:r w:rsidR="006D1AE7" w:rsidRPr="006D1AE7">
        <w:rPr>
          <w:rFonts w:ascii="CG Times" w:eastAsia="Times New Roman" w:hAnsi="CG Times" w:cs="Times New Roman"/>
          <w:szCs w:val="20"/>
        </w:rPr>
        <w:t xml:space="preserve">wider 5th–95th </w:t>
      </w:r>
      <w:r w:rsidR="00BC6997">
        <w:rPr>
          <w:rFonts w:ascii="CG Times" w:eastAsia="Times New Roman" w:hAnsi="CG Times" w:cs="Times New Roman"/>
          <w:szCs w:val="20"/>
        </w:rPr>
        <w:t>(</w:t>
      </w:r>
      <m:oMath>
        <m:r>
          <m:rPr>
            <m:sty m:val="p"/>
          </m:rPr>
          <w:rPr>
            <w:rFonts w:ascii="Cambria Math" w:eastAsia="Times New Roman" w:hAnsi="Cambria Math" w:cs="Times New Roman"/>
            <w:szCs w:val="20"/>
          </w:rPr>
          <m:t>κ</m:t>
        </m:r>
        <m:r>
          <w:rPr>
            <w:rFonts w:ascii="Cambria Math" w:eastAsia="Times New Roman" w:hAnsi="Cambria Math" w:cs="Times New Roman"/>
            <w:szCs w:val="20"/>
          </w:rPr>
          <m:t>=0.1</m:t>
        </m:r>
      </m:oMath>
      <w:r w:rsidR="00BC6997">
        <w:rPr>
          <w:rFonts w:ascii="CG Times" w:eastAsia="Times New Roman" w:hAnsi="CG Times" w:cs="Times New Roman"/>
          <w:iCs/>
          <w:szCs w:val="20"/>
        </w:rPr>
        <w:t xml:space="preserve">) </w:t>
      </w:r>
      <w:r w:rsidR="006D1AE7" w:rsidRPr="006D1AE7">
        <w:rPr>
          <w:rFonts w:ascii="CG Times" w:eastAsia="Times New Roman" w:hAnsi="CG Times" w:cs="Times New Roman"/>
          <w:szCs w:val="20"/>
        </w:rPr>
        <w:t>percentile range</w:t>
      </w:r>
      <w:r w:rsidR="00B40D75">
        <w:rPr>
          <w:rFonts w:ascii="CG Times" w:eastAsia="Times New Roman" w:hAnsi="CG Times" w:cs="Times New Roman"/>
          <w:szCs w:val="20"/>
        </w:rPr>
        <w:t>s</w:t>
      </w:r>
      <w:r w:rsidR="00793BFD">
        <w:rPr>
          <w:rFonts w:ascii="CG Times" w:eastAsia="Times New Roman" w:hAnsi="CG Times" w:cs="Times New Roman"/>
          <w:szCs w:val="20"/>
        </w:rPr>
        <w:t>.</w:t>
      </w:r>
      <w:r w:rsidR="006D1AE7" w:rsidRPr="006D1AE7">
        <w:rPr>
          <w:rFonts w:ascii="CG Times" w:eastAsia="Times New Roman" w:hAnsi="CG Times" w:cs="Times New Roman"/>
          <w:szCs w:val="20"/>
        </w:rPr>
        <w:t xml:space="preserve"> </w:t>
      </w:r>
    </w:p>
    <w:p w14:paraId="672AF3D7" w14:textId="77777777" w:rsidR="00A070FC" w:rsidRPr="00A070FC" w:rsidRDefault="00A070FC" w:rsidP="006D1AE7">
      <w:pPr>
        <w:spacing w:after="120" w:line="360" w:lineRule="auto"/>
        <w:jc w:val="both"/>
        <w:rPr>
          <w:rFonts w:ascii="CG Times" w:eastAsia="Times New Roman" w:hAnsi="CG Times" w:cs="Times New Roman"/>
          <w:szCs w:val="20"/>
        </w:rPr>
      </w:pPr>
    </w:p>
    <w:p w14:paraId="6FBF1ADB" w14:textId="475932D9" w:rsidR="002E6443" w:rsidRPr="002E6443" w:rsidRDefault="002E6443"/>
    <w:sectPr w:rsidR="002E6443" w:rsidRPr="002E6443" w:rsidSect="009D0E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pada, Riccardo" w:date="2026-05-11T16:22:00Z" w:initials="SR">
    <w:p w14:paraId="23C204F4" w14:textId="1E9447A3" w:rsidR="00CB5171" w:rsidRDefault="00CB5171" w:rsidP="00902246">
      <w:pPr>
        <w:pStyle w:val="CommentText"/>
      </w:pPr>
      <w:r>
        <w:rPr>
          <w:rStyle w:val="CommentReference"/>
        </w:rPr>
        <w:annotationRef/>
      </w:r>
      <w:r>
        <w:t>Is a binary state appropriate here?</w:t>
      </w:r>
    </w:p>
    <w:p w14:paraId="6A95C711" w14:textId="6B40B45E" w:rsidR="00CB5171" w:rsidRDefault="005652E3">
      <w:pPr>
        <w:pStyle w:val="CommentText"/>
      </w:pPr>
      <w:r>
        <w:t>Does ambiguity about profits</w:t>
      </w:r>
      <w:r w:rsidR="0079289C">
        <w:t xml:space="preserve"> outcome make sense or </w:t>
      </w:r>
      <w:r w:rsidR="00A95525">
        <w:t>should it be about prices?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95C7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C80E3" w16cex:dateUtc="2026-05-11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95C711" w16cid:durableId="2DAC8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6D83F" w14:textId="77777777" w:rsidR="00F81259" w:rsidRDefault="00F81259" w:rsidP="002E6443">
      <w:pPr>
        <w:spacing w:after="0" w:line="240" w:lineRule="auto"/>
      </w:pPr>
      <w:r>
        <w:separator/>
      </w:r>
    </w:p>
  </w:endnote>
  <w:endnote w:type="continuationSeparator" w:id="0">
    <w:p w14:paraId="011436D1" w14:textId="77777777" w:rsidR="00F81259" w:rsidRDefault="00F81259" w:rsidP="002E6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A4D6E" w14:textId="77777777" w:rsidR="00F81259" w:rsidRDefault="00F81259" w:rsidP="002E6443">
      <w:pPr>
        <w:spacing w:after="0" w:line="240" w:lineRule="auto"/>
      </w:pPr>
      <w:r>
        <w:separator/>
      </w:r>
    </w:p>
  </w:footnote>
  <w:footnote w:type="continuationSeparator" w:id="0">
    <w:p w14:paraId="47803401" w14:textId="77777777" w:rsidR="00F81259" w:rsidRDefault="00F81259" w:rsidP="002E6443">
      <w:pPr>
        <w:spacing w:after="0" w:line="240" w:lineRule="auto"/>
      </w:pPr>
      <w:r>
        <w:continuationSeparator/>
      </w:r>
    </w:p>
  </w:footnote>
  <w:footnote w:id="1">
    <w:p w14:paraId="7BDD91D5" w14:textId="77777777" w:rsidR="002E6443" w:rsidRPr="00072D32" w:rsidRDefault="002E6443" w:rsidP="002E6443">
      <w:pPr>
        <w:pStyle w:val="FootnoteText"/>
        <w:jc w:val="both"/>
        <w:rPr>
          <w:lang w:val="en-GB"/>
        </w:rPr>
      </w:pPr>
      <w:r>
        <w:rPr>
          <w:rStyle w:val="FootnoteReference"/>
        </w:rPr>
        <w:footnoteRef/>
      </w:r>
      <w:r w:rsidRPr="00072D32">
        <w:rPr>
          <w:lang w:val="en-GB"/>
        </w:rPr>
        <w:t xml:space="preserve"> </w:t>
      </w:r>
      <w:r w:rsidRPr="00D8332A">
        <w:rPr>
          <w:sz w:val="18"/>
          <w:szCs w:val="18"/>
          <w:lang w:val="en-GB"/>
        </w:rPr>
        <w:t xml:space="preserve">Conte &amp; Hey (2013) and Hey &amp; Pace (2014), assessed the most relevant decision models under ambiguity broadly dividing them into those that use second-order probabilities and those that do not. </w:t>
      </w:r>
      <w:r w:rsidRPr="00E65408">
        <w:rPr>
          <w:sz w:val="18"/>
          <w:szCs w:val="18"/>
          <w:lang w:val="en-GB"/>
        </w:rPr>
        <w:t>Among the non-SOMs, Hey &amp; Pace (2014) conclude that the Vector EU model (Siniscalchi, 2009) and the Alpha EU model (Ghirardato et al., 2004) perform better than the Subjective EU model (Savage, 1954) in explaining behaviour, but they perform similarly when it comes to prediction</w:t>
      </w:r>
      <w:r w:rsidRPr="002D2774">
        <w:rPr>
          <w:sz w:val="18"/>
          <w:szCs w:val="18"/>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56AE0"/>
    <w:multiLevelType w:val="hybridMultilevel"/>
    <w:tmpl w:val="77325AE6"/>
    <w:lvl w:ilvl="0" w:tplc="E9CE3E1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694214"/>
    <w:multiLevelType w:val="hybridMultilevel"/>
    <w:tmpl w:val="691E2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0B1118"/>
    <w:multiLevelType w:val="multilevel"/>
    <w:tmpl w:val="CF80E22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300661">
    <w:abstractNumId w:val="3"/>
  </w:num>
  <w:num w:numId="2" w16cid:durableId="551576474">
    <w:abstractNumId w:val="2"/>
  </w:num>
  <w:num w:numId="3" w16cid:durableId="128013141">
    <w:abstractNumId w:val="1"/>
  </w:num>
  <w:num w:numId="4" w16cid:durableId="10256687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pada, Riccardo">
    <w15:presenceInfo w15:providerId="AD" w15:userId="S::riccardo.spada@wur.nl::994b86d3-29b4-4300-9fb1-4380a0094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3"/>
    <w:rsid w:val="00085C5A"/>
    <w:rsid w:val="000E5519"/>
    <w:rsid w:val="001046AF"/>
    <w:rsid w:val="001171A2"/>
    <w:rsid w:val="00122103"/>
    <w:rsid w:val="00124FBD"/>
    <w:rsid w:val="0019480A"/>
    <w:rsid w:val="001C524A"/>
    <w:rsid w:val="001E1481"/>
    <w:rsid w:val="001E5825"/>
    <w:rsid w:val="001F067F"/>
    <w:rsid w:val="00236B4A"/>
    <w:rsid w:val="002A63D3"/>
    <w:rsid w:val="002B219A"/>
    <w:rsid w:val="002C737A"/>
    <w:rsid w:val="002E6443"/>
    <w:rsid w:val="00316E91"/>
    <w:rsid w:val="0037001A"/>
    <w:rsid w:val="003D479C"/>
    <w:rsid w:val="003F53A4"/>
    <w:rsid w:val="0043743D"/>
    <w:rsid w:val="004437F6"/>
    <w:rsid w:val="0048202C"/>
    <w:rsid w:val="00526316"/>
    <w:rsid w:val="00545782"/>
    <w:rsid w:val="00557F2A"/>
    <w:rsid w:val="005652E3"/>
    <w:rsid w:val="005C3642"/>
    <w:rsid w:val="005C42BF"/>
    <w:rsid w:val="005D46E4"/>
    <w:rsid w:val="005F0563"/>
    <w:rsid w:val="006A4A2F"/>
    <w:rsid w:val="006D1AE7"/>
    <w:rsid w:val="0079289C"/>
    <w:rsid w:val="00793BFD"/>
    <w:rsid w:val="007D1C02"/>
    <w:rsid w:val="00853B5C"/>
    <w:rsid w:val="00870964"/>
    <w:rsid w:val="00874893"/>
    <w:rsid w:val="0089224F"/>
    <w:rsid w:val="008C52B4"/>
    <w:rsid w:val="00902246"/>
    <w:rsid w:val="0091347B"/>
    <w:rsid w:val="009315A2"/>
    <w:rsid w:val="00985910"/>
    <w:rsid w:val="00990870"/>
    <w:rsid w:val="009A28D3"/>
    <w:rsid w:val="009A3D92"/>
    <w:rsid w:val="009D0E7A"/>
    <w:rsid w:val="009D0F30"/>
    <w:rsid w:val="00A070FC"/>
    <w:rsid w:val="00A23E6D"/>
    <w:rsid w:val="00A306E5"/>
    <w:rsid w:val="00A735E6"/>
    <w:rsid w:val="00A92CE7"/>
    <w:rsid w:val="00A95525"/>
    <w:rsid w:val="00B02622"/>
    <w:rsid w:val="00B0464F"/>
    <w:rsid w:val="00B14E44"/>
    <w:rsid w:val="00B277B4"/>
    <w:rsid w:val="00B40D75"/>
    <w:rsid w:val="00B605B7"/>
    <w:rsid w:val="00B82EF5"/>
    <w:rsid w:val="00BB4A07"/>
    <w:rsid w:val="00BC6997"/>
    <w:rsid w:val="00BF2CFD"/>
    <w:rsid w:val="00C1359C"/>
    <w:rsid w:val="00C25D34"/>
    <w:rsid w:val="00C6027D"/>
    <w:rsid w:val="00C707D7"/>
    <w:rsid w:val="00C73CF8"/>
    <w:rsid w:val="00C77BBA"/>
    <w:rsid w:val="00C877EC"/>
    <w:rsid w:val="00CA718C"/>
    <w:rsid w:val="00CB28CC"/>
    <w:rsid w:val="00CB5171"/>
    <w:rsid w:val="00D3085C"/>
    <w:rsid w:val="00D30E3F"/>
    <w:rsid w:val="00D75FA2"/>
    <w:rsid w:val="00DD0AEA"/>
    <w:rsid w:val="00DF1FE3"/>
    <w:rsid w:val="00E03B38"/>
    <w:rsid w:val="00EB7232"/>
    <w:rsid w:val="00F00369"/>
    <w:rsid w:val="00F16D8E"/>
    <w:rsid w:val="00F21C5A"/>
    <w:rsid w:val="00F23413"/>
    <w:rsid w:val="00F309B5"/>
    <w:rsid w:val="00F31A7F"/>
    <w:rsid w:val="00F36C84"/>
    <w:rsid w:val="00F679F9"/>
    <w:rsid w:val="00F81259"/>
    <w:rsid w:val="00F81C2F"/>
    <w:rsid w:val="00FD0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30E8"/>
  <w15:chartTrackingRefBased/>
  <w15:docId w15:val="{8FD9BA5E-D8B8-4056-9BDC-D5C933BA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D7"/>
    <w:rPr>
      <w:rFonts w:ascii="Times New Roman" w:hAnsi="Times New Roman"/>
      <w:sz w:val="24"/>
    </w:rPr>
  </w:style>
  <w:style w:type="paragraph" w:styleId="Heading1">
    <w:name w:val="heading 1"/>
    <w:basedOn w:val="Normal"/>
    <w:next w:val="Normal"/>
    <w:link w:val="Heading1Char"/>
    <w:uiPriority w:val="9"/>
    <w:qFormat/>
    <w:rsid w:val="005C42BF"/>
    <w:pPr>
      <w:keepNext/>
      <w:keepLines/>
      <w:numPr>
        <w:numId w:val="2"/>
      </w:numPr>
      <w:spacing w:before="360" w:after="120"/>
      <w:ind w:hanging="36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2B219A"/>
    <w:pPr>
      <w:keepNext/>
      <w:keepLines/>
      <w:spacing w:before="16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BF"/>
    <w:rPr>
      <w:rFonts w:ascii="Times New Roman" w:eastAsiaTheme="majorEastAsia" w:hAnsi="Times New Roman" w:cstheme="majorBidi"/>
      <w:sz w:val="32"/>
      <w:szCs w:val="32"/>
    </w:rPr>
  </w:style>
  <w:style w:type="paragraph" w:styleId="Caption">
    <w:name w:val="caption"/>
    <w:basedOn w:val="Normal"/>
    <w:next w:val="Normal"/>
    <w:uiPriority w:val="35"/>
    <w:unhideWhenUsed/>
    <w:qFormat/>
    <w:rsid w:val="00C73CF8"/>
    <w:pPr>
      <w:spacing w:after="200" w:line="240" w:lineRule="auto"/>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2B219A"/>
    <w:rPr>
      <w:rFonts w:ascii="Times New Roman" w:eastAsiaTheme="majorEastAsia" w:hAnsi="Times New Roman" w:cstheme="majorBidi"/>
      <w:b/>
      <w:sz w:val="26"/>
      <w:szCs w:val="26"/>
    </w:rPr>
  </w:style>
  <w:style w:type="paragraph" w:styleId="FootnoteText">
    <w:name w:val="footnote text"/>
    <w:basedOn w:val="Normal"/>
    <w:link w:val="FootnoteTextChar"/>
    <w:uiPriority w:val="99"/>
    <w:semiHidden/>
    <w:unhideWhenUsed/>
    <w:rsid w:val="002E6443"/>
    <w:pPr>
      <w:spacing w:after="120" w:line="240" w:lineRule="auto"/>
    </w:pPr>
    <w:rPr>
      <w:rFonts w:ascii="CG Times" w:eastAsia="Times New Roman" w:hAnsi="CG Times" w:cs="Times New Roman"/>
      <w:sz w:val="20"/>
      <w:szCs w:val="20"/>
      <w:lang w:val="nl-NL"/>
    </w:rPr>
  </w:style>
  <w:style w:type="character" w:customStyle="1" w:styleId="FootnoteTextChar">
    <w:name w:val="Footnote Text Char"/>
    <w:basedOn w:val="DefaultParagraphFont"/>
    <w:link w:val="FootnoteText"/>
    <w:uiPriority w:val="99"/>
    <w:semiHidden/>
    <w:rsid w:val="002E6443"/>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2E6443"/>
    <w:rPr>
      <w:vertAlign w:val="superscript"/>
    </w:rPr>
  </w:style>
  <w:style w:type="character" w:styleId="PlaceholderText">
    <w:name w:val="Placeholder Text"/>
    <w:basedOn w:val="DefaultParagraphFont"/>
    <w:uiPriority w:val="99"/>
    <w:semiHidden/>
    <w:rsid w:val="00A735E6"/>
    <w:rPr>
      <w:color w:val="808080"/>
    </w:rPr>
  </w:style>
  <w:style w:type="character" w:styleId="CommentReference">
    <w:name w:val="annotation reference"/>
    <w:basedOn w:val="DefaultParagraphFont"/>
    <w:uiPriority w:val="99"/>
    <w:semiHidden/>
    <w:unhideWhenUsed/>
    <w:rsid w:val="00CB5171"/>
    <w:rPr>
      <w:sz w:val="16"/>
      <w:szCs w:val="16"/>
    </w:rPr>
  </w:style>
  <w:style w:type="paragraph" w:styleId="CommentText">
    <w:name w:val="annotation text"/>
    <w:basedOn w:val="Normal"/>
    <w:link w:val="CommentTextChar"/>
    <w:uiPriority w:val="99"/>
    <w:semiHidden/>
    <w:unhideWhenUsed/>
    <w:rsid w:val="00CB5171"/>
    <w:pPr>
      <w:spacing w:line="240" w:lineRule="auto"/>
    </w:pPr>
    <w:rPr>
      <w:sz w:val="20"/>
      <w:szCs w:val="20"/>
    </w:rPr>
  </w:style>
  <w:style w:type="character" w:customStyle="1" w:styleId="CommentTextChar">
    <w:name w:val="Comment Text Char"/>
    <w:basedOn w:val="DefaultParagraphFont"/>
    <w:link w:val="CommentText"/>
    <w:uiPriority w:val="99"/>
    <w:semiHidden/>
    <w:rsid w:val="00CB517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B5171"/>
    <w:rPr>
      <w:b/>
      <w:bCs/>
    </w:rPr>
  </w:style>
  <w:style w:type="character" w:customStyle="1" w:styleId="CommentSubjectChar">
    <w:name w:val="Comment Subject Char"/>
    <w:basedOn w:val="CommentTextChar"/>
    <w:link w:val="CommentSubject"/>
    <w:uiPriority w:val="99"/>
    <w:semiHidden/>
    <w:rsid w:val="00CB517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102752">
      <w:bodyDiv w:val="1"/>
      <w:marLeft w:val="0"/>
      <w:marRight w:val="0"/>
      <w:marTop w:val="0"/>
      <w:marBottom w:val="0"/>
      <w:divBdr>
        <w:top w:val="none" w:sz="0" w:space="0" w:color="auto"/>
        <w:left w:val="none" w:sz="0" w:space="0" w:color="auto"/>
        <w:bottom w:val="none" w:sz="0" w:space="0" w:color="auto"/>
        <w:right w:val="none" w:sz="0" w:space="0" w:color="auto"/>
      </w:divBdr>
      <w:divsChild>
        <w:div w:id="1754278465">
          <w:marLeft w:val="0"/>
          <w:marRight w:val="0"/>
          <w:marTop w:val="0"/>
          <w:marBottom w:val="0"/>
          <w:divBdr>
            <w:top w:val="none" w:sz="0" w:space="0" w:color="auto"/>
            <w:left w:val="none" w:sz="0" w:space="0" w:color="auto"/>
            <w:bottom w:val="none" w:sz="0" w:space="0" w:color="auto"/>
            <w:right w:val="none" w:sz="0" w:space="0" w:color="auto"/>
          </w:divBdr>
          <w:divsChild>
            <w:div w:id="17475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1138">
      <w:bodyDiv w:val="1"/>
      <w:marLeft w:val="0"/>
      <w:marRight w:val="0"/>
      <w:marTop w:val="0"/>
      <w:marBottom w:val="0"/>
      <w:divBdr>
        <w:top w:val="none" w:sz="0" w:space="0" w:color="auto"/>
        <w:left w:val="none" w:sz="0" w:space="0" w:color="auto"/>
        <w:bottom w:val="none" w:sz="0" w:space="0" w:color="auto"/>
        <w:right w:val="none" w:sz="0" w:space="0" w:color="auto"/>
      </w:divBdr>
      <w:divsChild>
        <w:div w:id="2054882405">
          <w:marLeft w:val="0"/>
          <w:marRight w:val="0"/>
          <w:marTop w:val="0"/>
          <w:marBottom w:val="0"/>
          <w:divBdr>
            <w:top w:val="none" w:sz="0" w:space="0" w:color="auto"/>
            <w:left w:val="none" w:sz="0" w:space="0" w:color="auto"/>
            <w:bottom w:val="none" w:sz="0" w:space="0" w:color="auto"/>
            <w:right w:val="none" w:sz="0" w:space="0" w:color="auto"/>
          </w:divBdr>
          <w:divsChild>
            <w:div w:id="840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1107</TotalTime>
  <Pages>2</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86</cp:revision>
  <dcterms:created xsi:type="dcterms:W3CDTF">2026-05-11T13:28:00Z</dcterms:created>
  <dcterms:modified xsi:type="dcterms:W3CDTF">2026-05-12T08:25:00Z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id="26pHbzYl"/&gt;&lt;style id="http://www.zotero.org/styles/american-journal-of-agricultural-economics" hasBibliography="1" bibliographyStyleHasBeenSet="0"/&gt;&lt;prefs&gt;&lt;pref name="fieldType" value="Field"/&gt;&lt;/p</vt:lpwstr>
  </property>
  <property fmtid="{D5CDD505-2E9C-101B-9397-08002B2CF9AE}" pid="3" name="ZOTERO_PREF_2">
    <vt:lpwstr>refs&gt;&lt;/data&gt;</vt:lpwstr>
  </property>
</Properties>
</file>