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 Interne — Sécurité Informatique</w:t>
      </w:r>
    </w:p>
    <w:p>
      <w:r>
        <w:t>La sécurité des systèmes d’information constitue une priorité stratégique pour Ignavia Tech. Tous les collaborateurs doivent respecter les protocoles en vigueur concernant l’accès aux données sensibles.</w:t>
      </w:r>
    </w:p>
    <w:p>
      <w:r>
        <w:t>L’utilisation de mots de passe complexes et le renouvellement régulier des identifiants sont obligatoires. L’accès aux environnements R&amp;D est strictement limité aux personnes autorisées.</w:t>
      </w:r>
    </w:p>
    <w:p>
      <w:r>
        <w:t>Toute activité suspecte doit être signalée immédiatement au département IT Security. Des audits réguliers seront menés afin de garantir la conformité aux normes internes.</w:t>
      </w:r>
    </w:p>
    <w:p>
      <w:r>
        <w:t>Accès archives R&amp;D : Cortex7@rchive!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