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Mémo Confidentiel — Projet de Rachat</w:t>
      </w:r>
    </w:p>
    <w:p>
      <w:r>
        <w:t>Ce document présente une synthèse des discussions en cours concernant le rachat potentiel de la société fictive NanoSilicore. Cette opération vise à renforcer les capacités de production d’Ignavia Tech et à accélérer le développement de technologies concurrentes.</w:t>
      </w:r>
    </w:p>
    <w:p>
      <w:r>
        <w:t>NanoSilicore dispose d’une expertise avancée en gravure 5 nm et détient plusieurs brevets stratégiques. L’intégration de ces actifs permettrait de réduire notre dépendance aux fournisseurs externes et d’optimiser les délais de mise sur le marché.</w:t>
      </w:r>
    </w:p>
    <w:p>
      <w:r>
        <w:t>Risques identifiés : intégration des équipes, compatibilité des systèmes, coûts cachés liés aux licences. Une due diligence approfondie est en cours afin de sécuriser l’opération.</w:t>
      </w:r>
    </w:p>
    <w:p>
      <w:r>
        <w:t>Ce document est strictement confidentiel et réservé à la direction exécutive.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