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Ignavia Tech — Plan Stratégique 2025</w:t>
      </w:r>
    </w:p>
    <w:p>
      <w:r>
        <w:t>En 2025, Ignavia Tech poursuit son ambition de devenir un acteur clé du marché des chipsets haute performance. Le lancement du processeur phare CORTEX-7 constitue un levier stratégique majeur, visant à capter des parts de marché dans les segments des objets connectés, de l’embarqué industriel et des solutions edge computing.</w:t>
      </w:r>
    </w:p>
    <w:p>
      <w:r>
        <w:t>Objectifs principaux :</w:t>
        <w:br/>
        <w:t>- Augmenter de 18 % le chiffre d’affaires global</w:t>
        <w:br/>
        <w:t>- Déployer CORTEX-7 auprès de 5 nouveaux partenaires industriels</w:t>
        <w:br/>
        <w:t>- Réduire les coûts de production de 7 % grâce à l’optimisation de la chaîne logistique</w:t>
      </w:r>
    </w:p>
    <w:p>
      <w:r>
        <w:t>Budget alloué : 42 millions d’euros, répartis entre R&amp;D (45 %), marketing (25 %), production (20 %) et expansion internationale (10 %). Les investissements R&amp;D seront prioritairement orientés vers l’amélioration des performances énergétiques et la miniaturisation.</w:t>
      </w:r>
    </w:p>
    <w:p>
      <w:r>
        <w:t>Marchés cibles : Europe (principal), Asie du Sud-Est (croissance), Amérique du Nord (partenariats stratégiques).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