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CONFIDENTIEL — Rapport KPI CORTEX-7</w:t>
      </w:r>
    </w:p>
    <w:p>
      <w:r>
        <w:t>Ce rapport présente les principaux indicateurs de performance liés au déploiement du chipset CORTEX-7. L'indice de performance cognitive mesuré sur panel utilisateur montre une progression continue sur le premier semestre.</w:t>
      </w:r>
    </w:p>
    <w:p>
      <w:r>
        <w:t>Indicateurs clés :</w:t>
        <w:br/>
        <w:t>- Gain cognitif moyen : +21 %</w:t>
        <w:br/>
        <w:t>- Latence neuronale simulée : -12 %</w:t>
        <w:br/>
        <w:t>- Taux d’adoption partenaires : 34 %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