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7AD5D" w14:textId="77777777" w:rsidR="00CC5800" w:rsidRPr="00CC5800" w:rsidRDefault="00CC5800" w:rsidP="00CC5800">
      <w:pPr>
        <w:shd w:val="clear" w:color="auto" w:fill="FFFFFF"/>
        <w:outlineLvl w:val="0"/>
        <w:rPr>
          <w:rFonts w:ascii="Arial" w:eastAsia="Times New Roman" w:hAnsi="Arial" w:cs="Arial"/>
          <w:b/>
          <w:bCs/>
          <w:color w:val="1F1F1F"/>
          <w:kern w:val="36"/>
          <w:sz w:val="48"/>
          <w:szCs w:val="48"/>
          <w14:ligatures w14:val="none"/>
        </w:rPr>
      </w:pPr>
      <w:r w:rsidRPr="00CC5800">
        <w:rPr>
          <w:rFonts w:ascii="Arial" w:eastAsia="Times New Roman" w:hAnsi="Arial" w:cs="Arial"/>
          <w:b/>
          <w:bCs/>
          <w:color w:val="1F1F1F"/>
          <w:kern w:val="36"/>
          <w:sz w:val="48"/>
          <w:szCs w:val="48"/>
          <w14:ligatures w14:val="none"/>
        </w:rPr>
        <w:t>Sample data dictionary and data lineage</w:t>
      </w:r>
    </w:p>
    <w:p w14:paraId="16D2A493" w14:textId="77777777" w:rsidR="00CC5800" w:rsidRPr="00CC5800" w:rsidRDefault="00CC5800" w:rsidP="00CC5800">
      <w:pPr>
        <w:shd w:val="clear" w:color="auto" w:fill="FFFFFF"/>
        <w:spacing w:after="100" w:afterAutospacing="1"/>
        <w:rPr>
          <w:rFonts w:ascii="Arial" w:eastAsia="Times New Roman" w:hAnsi="Arial" w:cs="Arial"/>
          <w:color w:val="1F1F1F"/>
          <w:kern w:val="0"/>
          <w:sz w:val="21"/>
          <w:szCs w:val="21"/>
          <w14:ligatures w14:val="none"/>
        </w:rPr>
      </w:pPr>
      <w:r w:rsidRPr="00CC5800">
        <w:rPr>
          <w:rFonts w:ascii="Arial" w:eastAsia="Times New Roman" w:hAnsi="Arial" w:cs="Arial"/>
          <w:color w:val="1F1F1F"/>
          <w:kern w:val="0"/>
          <w:sz w:val="21"/>
          <w:szCs w:val="21"/>
          <w14:ligatures w14:val="none"/>
        </w:rPr>
        <w:t>As you have been learning in this course, business intelligence professionals have three primary tools to help them ensure conformity from source to destination: schema validation, data dictionaries, and data lineages. In this reading, you’re going to explore some examples of data dictionaries and lineages to get a better understanding of how these items work.</w:t>
      </w:r>
    </w:p>
    <w:p w14:paraId="2A006270" w14:textId="77777777" w:rsidR="00CC5800" w:rsidRPr="00CC5800" w:rsidRDefault="00CC5800" w:rsidP="00CC5800">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CC5800">
        <w:rPr>
          <w:rFonts w:ascii="Arial" w:eastAsia="Times New Roman" w:hAnsi="Arial" w:cs="Arial"/>
          <w:b/>
          <w:bCs/>
          <w:color w:val="1F1F1F"/>
          <w:kern w:val="0"/>
          <w:sz w:val="36"/>
          <w:szCs w:val="36"/>
          <w14:ligatures w14:val="none"/>
        </w:rPr>
        <w:t>Data dictionaries</w:t>
      </w:r>
    </w:p>
    <w:p w14:paraId="6BCD1DA7" w14:textId="77777777" w:rsidR="00CC5800" w:rsidRPr="00CC5800" w:rsidRDefault="00CC5800" w:rsidP="00CC5800">
      <w:pPr>
        <w:shd w:val="clear" w:color="auto" w:fill="FFFFFF"/>
        <w:spacing w:after="100" w:afterAutospacing="1"/>
        <w:rPr>
          <w:rFonts w:ascii="Arial" w:eastAsia="Times New Roman" w:hAnsi="Arial" w:cs="Arial"/>
          <w:color w:val="1F1F1F"/>
          <w:kern w:val="0"/>
          <w:sz w:val="21"/>
          <w:szCs w:val="21"/>
          <w14:ligatures w14:val="none"/>
        </w:rPr>
      </w:pPr>
      <w:r w:rsidRPr="00CC5800">
        <w:rPr>
          <w:rFonts w:ascii="Arial" w:eastAsia="Times New Roman" w:hAnsi="Arial" w:cs="Arial"/>
          <w:color w:val="1F1F1F"/>
          <w:kern w:val="0"/>
          <w:sz w:val="21"/>
          <w:szCs w:val="21"/>
          <w14:ligatures w14:val="none"/>
        </w:rPr>
        <w:t>A data dictionary is a collection of information that describes the content, format, and structure of data objects within a database, as well as their relationships. This can also be referred to as a metadata repository because data dictionaries use metadata to define the use and origin of other pieces of data. Here’s an example of a product table that exists within a sales database:</w:t>
      </w:r>
    </w:p>
    <w:p w14:paraId="36F78DFF" w14:textId="77777777" w:rsidR="00CC5800" w:rsidRPr="00CC5800" w:rsidRDefault="00CC5800" w:rsidP="00CC5800">
      <w:pPr>
        <w:shd w:val="clear" w:color="auto" w:fill="FFFFFF"/>
        <w:spacing w:after="100" w:afterAutospacing="1"/>
        <w:rPr>
          <w:rFonts w:ascii="Arial" w:eastAsia="Times New Roman" w:hAnsi="Arial" w:cs="Arial"/>
          <w:color w:val="1F1F1F"/>
          <w:kern w:val="0"/>
          <w:sz w:val="21"/>
          <w:szCs w:val="21"/>
          <w14:ligatures w14:val="none"/>
        </w:rPr>
      </w:pPr>
      <w:r w:rsidRPr="00CC5800">
        <w:rPr>
          <w:rFonts w:ascii="unset" w:eastAsia="Times New Roman" w:hAnsi="unset" w:cs="Arial"/>
          <w:b/>
          <w:bCs/>
          <w:color w:val="1F1F1F"/>
          <w:kern w:val="0"/>
          <w:sz w:val="21"/>
          <w:szCs w:val="21"/>
          <w14:ligatures w14:val="none"/>
        </w:rPr>
        <w:t>Product Table</w:t>
      </w:r>
    </w:p>
    <w:tbl>
      <w:tblPr>
        <w:tblW w:w="11850" w:type="dxa"/>
        <w:tblCellMar>
          <w:top w:w="15" w:type="dxa"/>
          <w:left w:w="15" w:type="dxa"/>
          <w:bottom w:w="15" w:type="dxa"/>
          <w:right w:w="15" w:type="dxa"/>
        </w:tblCellMar>
        <w:tblLook w:val="04A0" w:firstRow="1" w:lastRow="0" w:firstColumn="1" w:lastColumn="0" w:noHBand="0" w:noVBand="1"/>
      </w:tblPr>
      <w:tblGrid>
        <w:gridCol w:w="1321"/>
        <w:gridCol w:w="1209"/>
        <w:gridCol w:w="2125"/>
        <w:gridCol w:w="2815"/>
        <w:gridCol w:w="2882"/>
        <w:gridCol w:w="1498"/>
      </w:tblGrid>
      <w:tr w:rsidR="00CC5800" w:rsidRPr="00CC5800" w14:paraId="139CE8A0" w14:textId="77777777" w:rsidTr="00CC5800">
        <w:trPr>
          <w:tblHeader/>
        </w:trPr>
        <w:tc>
          <w:tcPr>
            <w:tcW w:w="0" w:type="auto"/>
            <w:shd w:val="clear" w:color="auto" w:fill="auto"/>
            <w:vAlign w:val="center"/>
            <w:hideMark/>
          </w:tcPr>
          <w:p w14:paraId="520F52EA" w14:textId="77777777" w:rsidR="00CC5800" w:rsidRPr="00CC5800" w:rsidRDefault="00CC5800" w:rsidP="00CC5800">
            <w:pPr>
              <w:rPr>
                <w:rFonts w:ascii="Times New Roman" w:eastAsia="Times New Roman" w:hAnsi="Times New Roman" w:cs="Times New Roman"/>
                <w:b/>
                <w:bCs/>
                <w:kern w:val="0"/>
                <w14:ligatures w14:val="none"/>
              </w:rPr>
            </w:pPr>
            <w:r w:rsidRPr="00CC5800">
              <w:rPr>
                <w:rFonts w:ascii="unset" w:eastAsia="Times New Roman" w:hAnsi="unset" w:cs="Times New Roman"/>
                <w:b/>
                <w:bCs/>
                <w:kern w:val="0"/>
                <w14:ligatures w14:val="none"/>
              </w:rPr>
              <w:t>Item_ID</w:t>
            </w:r>
          </w:p>
        </w:tc>
        <w:tc>
          <w:tcPr>
            <w:tcW w:w="0" w:type="auto"/>
            <w:shd w:val="clear" w:color="auto" w:fill="auto"/>
            <w:vAlign w:val="center"/>
            <w:hideMark/>
          </w:tcPr>
          <w:p w14:paraId="30ECCEB3" w14:textId="77777777" w:rsidR="00CC5800" w:rsidRPr="00CC5800" w:rsidRDefault="00CC5800" w:rsidP="00CC5800">
            <w:pPr>
              <w:rPr>
                <w:rFonts w:ascii="Times New Roman" w:eastAsia="Times New Roman" w:hAnsi="Times New Roman" w:cs="Times New Roman"/>
                <w:b/>
                <w:bCs/>
                <w:kern w:val="0"/>
                <w14:ligatures w14:val="none"/>
              </w:rPr>
            </w:pPr>
            <w:r w:rsidRPr="00CC5800">
              <w:rPr>
                <w:rFonts w:ascii="unset" w:eastAsia="Times New Roman" w:hAnsi="unset" w:cs="Times New Roman"/>
                <w:b/>
                <w:bCs/>
                <w:kern w:val="0"/>
                <w14:ligatures w14:val="none"/>
              </w:rPr>
              <w:t>Price</w:t>
            </w:r>
          </w:p>
        </w:tc>
        <w:tc>
          <w:tcPr>
            <w:tcW w:w="0" w:type="auto"/>
            <w:shd w:val="clear" w:color="auto" w:fill="auto"/>
            <w:vAlign w:val="center"/>
            <w:hideMark/>
          </w:tcPr>
          <w:p w14:paraId="07C26DE4" w14:textId="77777777" w:rsidR="00CC5800" w:rsidRPr="00CC5800" w:rsidRDefault="00CC5800" w:rsidP="00CC5800">
            <w:pPr>
              <w:rPr>
                <w:rFonts w:ascii="Times New Roman" w:eastAsia="Times New Roman" w:hAnsi="Times New Roman" w:cs="Times New Roman"/>
                <w:b/>
                <w:bCs/>
                <w:kern w:val="0"/>
                <w14:ligatures w14:val="none"/>
              </w:rPr>
            </w:pPr>
            <w:r w:rsidRPr="00CC5800">
              <w:rPr>
                <w:rFonts w:ascii="unset" w:eastAsia="Times New Roman" w:hAnsi="unset" w:cs="Times New Roman"/>
                <w:b/>
                <w:bCs/>
                <w:kern w:val="0"/>
                <w14:ligatures w14:val="none"/>
              </w:rPr>
              <w:t>Department</w:t>
            </w:r>
          </w:p>
        </w:tc>
        <w:tc>
          <w:tcPr>
            <w:tcW w:w="0" w:type="auto"/>
            <w:shd w:val="clear" w:color="auto" w:fill="auto"/>
            <w:vAlign w:val="center"/>
            <w:hideMark/>
          </w:tcPr>
          <w:p w14:paraId="48FE7488" w14:textId="77777777" w:rsidR="00CC5800" w:rsidRPr="00CC5800" w:rsidRDefault="00CC5800" w:rsidP="00CC5800">
            <w:pPr>
              <w:rPr>
                <w:rFonts w:ascii="Times New Roman" w:eastAsia="Times New Roman" w:hAnsi="Times New Roman" w:cs="Times New Roman"/>
                <w:b/>
                <w:bCs/>
                <w:kern w:val="0"/>
                <w14:ligatures w14:val="none"/>
              </w:rPr>
            </w:pPr>
            <w:r w:rsidRPr="00CC5800">
              <w:rPr>
                <w:rFonts w:ascii="unset" w:eastAsia="Times New Roman" w:hAnsi="unset" w:cs="Times New Roman"/>
                <w:b/>
                <w:bCs/>
                <w:kern w:val="0"/>
                <w14:ligatures w14:val="none"/>
              </w:rPr>
              <w:t>Number_of_Sales</w:t>
            </w:r>
          </w:p>
        </w:tc>
        <w:tc>
          <w:tcPr>
            <w:tcW w:w="0" w:type="auto"/>
            <w:shd w:val="clear" w:color="auto" w:fill="auto"/>
            <w:vAlign w:val="center"/>
            <w:hideMark/>
          </w:tcPr>
          <w:p w14:paraId="64C961CA" w14:textId="77777777" w:rsidR="00CC5800" w:rsidRPr="00CC5800" w:rsidRDefault="00CC5800" w:rsidP="00CC5800">
            <w:pPr>
              <w:rPr>
                <w:rFonts w:ascii="Times New Roman" w:eastAsia="Times New Roman" w:hAnsi="Times New Roman" w:cs="Times New Roman"/>
                <w:b/>
                <w:bCs/>
                <w:kern w:val="0"/>
                <w14:ligatures w14:val="none"/>
              </w:rPr>
            </w:pPr>
            <w:r w:rsidRPr="00CC5800">
              <w:rPr>
                <w:rFonts w:ascii="unset" w:eastAsia="Times New Roman" w:hAnsi="unset" w:cs="Times New Roman"/>
                <w:b/>
                <w:bCs/>
                <w:kern w:val="0"/>
                <w14:ligatures w14:val="none"/>
              </w:rPr>
              <w:t>Number_in_Stock</w:t>
            </w:r>
          </w:p>
        </w:tc>
        <w:tc>
          <w:tcPr>
            <w:tcW w:w="0" w:type="auto"/>
            <w:shd w:val="clear" w:color="auto" w:fill="auto"/>
            <w:vAlign w:val="center"/>
            <w:hideMark/>
          </w:tcPr>
          <w:p w14:paraId="1CB9812A" w14:textId="77777777" w:rsidR="00CC5800" w:rsidRPr="00CC5800" w:rsidRDefault="00CC5800" w:rsidP="00CC5800">
            <w:pPr>
              <w:rPr>
                <w:rFonts w:ascii="Times New Roman" w:eastAsia="Times New Roman" w:hAnsi="Times New Roman" w:cs="Times New Roman"/>
                <w:b/>
                <w:bCs/>
                <w:kern w:val="0"/>
                <w14:ligatures w14:val="none"/>
              </w:rPr>
            </w:pPr>
            <w:r w:rsidRPr="00CC5800">
              <w:rPr>
                <w:rFonts w:ascii="unset" w:eastAsia="Times New Roman" w:hAnsi="unset" w:cs="Times New Roman"/>
                <w:b/>
                <w:bCs/>
                <w:kern w:val="0"/>
                <w14:ligatures w14:val="none"/>
              </w:rPr>
              <w:t>Seasonal</w:t>
            </w:r>
          </w:p>
        </w:tc>
      </w:tr>
      <w:tr w:rsidR="00CC5800" w:rsidRPr="00CC5800" w14:paraId="462566AD" w14:textId="77777777" w:rsidTr="00CC5800">
        <w:tc>
          <w:tcPr>
            <w:tcW w:w="0" w:type="auto"/>
            <w:shd w:val="clear" w:color="auto" w:fill="auto"/>
            <w:vAlign w:val="center"/>
            <w:hideMark/>
          </w:tcPr>
          <w:p w14:paraId="0594F6BB"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47257</w:t>
            </w:r>
          </w:p>
        </w:tc>
        <w:tc>
          <w:tcPr>
            <w:tcW w:w="0" w:type="auto"/>
            <w:shd w:val="clear" w:color="auto" w:fill="auto"/>
            <w:vAlign w:val="center"/>
            <w:hideMark/>
          </w:tcPr>
          <w:p w14:paraId="3ECA04AD"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$33.00</w:t>
            </w:r>
          </w:p>
        </w:tc>
        <w:tc>
          <w:tcPr>
            <w:tcW w:w="0" w:type="auto"/>
            <w:shd w:val="clear" w:color="auto" w:fill="auto"/>
            <w:vAlign w:val="center"/>
            <w:hideMark/>
          </w:tcPr>
          <w:p w14:paraId="67224925"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Gardening</w:t>
            </w:r>
          </w:p>
        </w:tc>
        <w:tc>
          <w:tcPr>
            <w:tcW w:w="0" w:type="auto"/>
            <w:shd w:val="clear" w:color="auto" w:fill="auto"/>
            <w:vAlign w:val="center"/>
            <w:hideMark/>
          </w:tcPr>
          <w:p w14:paraId="295D0AA7"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744</w:t>
            </w:r>
          </w:p>
        </w:tc>
        <w:tc>
          <w:tcPr>
            <w:tcW w:w="0" w:type="auto"/>
            <w:shd w:val="clear" w:color="auto" w:fill="auto"/>
            <w:vAlign w:val="center"/>
            <w:hideMark/>
          </w:tcPr>
          <w:p w14:paraId="716E65F5"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598</w:t>
            </w:r>
          </w:p>
        </w:tc>
        <w:tc>
          <w:tcPr>
            <w:tcW w:w="0" w:type="auto"/>
            <w:shd w:val="clear" w:color="auto" w:fill="auto"/>
            <w:vAlign w:val="center"/>
            <w:hideMark/>
          </w:tcPr>
          <w:p w14:paraId="334A582C"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Yes</w:t>
            </w:r>
          </w:p>
        </w:tc>
      </w:tr>
      <w:tr w:rsidR="00CC5800" w:rsidRPr="00CC5800" w14:paraId="0E0A123F" w14:textId="77777777" w:rsidTr="00CC5800">
        <w:tc>
          <w:tcPr>
            <w:tcW w:w="0" w:type="auto"/>
            <w:shd w:val="clear" w:color="auto" w:fill="auto"/>
            <w:vAlign w:val="center"/>
            <w:hideMark/>
          </w:tcPr>
          <w:p w14:paraId="23E0DAC2"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39496</w:t>
            </w:r>
          </w:p>
        </w:tc>
        <w:tc>
          <w:tcPr>
            <w:tcW w:w="0" w:type="auto"/>
            <w:shd w:val="clear" w:color="auto" w:fill="auto"/>
            <w:vAlign w:val="center"/>
            <w:hideMark/>
          </w:tcPr>
          <w:p w14:paraId="04350B23"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$82.00</w:t>
            </w:r>
          </w:p>
        </w:tc>
        <w:tc>
          <w:tcPr>
            <w:tcW w:w="0" w:type="auto"/>
            <w:shd w:val="clear" w:color="auto" w:fill="auto"/>
            <w:vAlign w:val="center"/>
            <w:hideMark/>
          </w:tcPr>
          <w:p w14:paraId="01F8FC36"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Home Decor</w:t>
            </w:r>
          </w:p>
        </w:tc>
        <w:tc>
          <w:tcPr>
            <w:tcW w:w="0" w:type="auto"/>
            <w:shd w:val="clear" w:color="auto" w:fill="auto"/>
            <w:vAlign w:val="center"/>
            <w:hideMark/>
          </w:tcPr>
          <w:p w14:paraId="47F04376"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383</w:t>
            </w:r>
          </w:p>
        </w:tc>
        <w:tc>
          <w:tcPr>
            <w:tcW w:w="0" w:type="auto"/>
            <w:shd w:val="clear" w:color="auto" w:fill="auto"/>
            <w:vAlign w:val="center"/>
            <w:hideMark/>
          </w:tcPr>
          <w:p w14:paraId="6758E746"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729</w:t>
            </w:r>
          </w:p>
        </w:tc>
        <w:tc>
          <w:tcPr>
            <w:tcW w:w="0" w:type="auto"/>
            <w:shd w:val="clear" w:color="auto" w:fill="auto"/>
            <w:vAlign w:val="center"/>
            <w:hideMark/>
          </w:tcPr>
          <w:p w14:paraId="58AD5E5E"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Yes</w:t>
            </w:r>
          </w:p>
        </w:tc>
      </w:tr>
      <w:tr w:rsidR="00CC5800" w:rsidRPr="00CC5800" w14:paraId="77FD4800" w14:textId="77777777" w:rsidTr="00CC5800">
        <w:tc>
          <w:tcPr>
            <w:tcW w:w="0" w:type="auto"/>
            <w:shd w:val="clear" w:color="auto" w:fill="auto"/>
            <w:vAlign w:val="center"/>
            <w:hideMark/>
          </w:tcPr>
          <w:p w14:paraId="336AA30D"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73302</w:t>
            </w:r>
          </w:p>
        </w:tc>
        <w:tc>
          <w:tcPr>
            <w:tcW w:w="0" w:type="auto"/>
            <w:shd w:val="clear" w:color="auto" w:fill="auto"/>
            <w:vAlign w:val="center"/>
            <w:hideMark/>
          </w:tcPr>
          <w:p w14:paraId="1CFDEAFD"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$56.00</w:t>
            </w:r>
          </w:p>
        </w:tc>
        <w:tc>
          <w:tcPr>
            <w:tcW w:w="0" w:type="auto"/>
            <w:shd w:val="clear" w:color="auto" w:fill="auto"/>
            <w:vAlign w:val="center"/>
            <w:hideMark/>
          </w:tcPr>
          <w:p w14:paraId="542CA767"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Furniture</w:t>
            </w:r>
          </w:p>
        </w:tc>
        <w:tc>
          <w:tcPr>
            <w:tcW w:w="0" w:type="auto"/>
            <w:shd w:val="clear" w:color="auto" w:fill="auto"/>
            <w:vAlign w:val="center"/>
            <w:hideMark/>
          </w:tcPr>
          <w:p w14:paraId="501EFCCC"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874</w:t>
            </w:r>
          </w:p>
        </w:tc>
        <w:tc>
          <w:tcPr>
            <w:tcW w:w="0" w:type="auto"/>
            <w:shd w:val="clear" w:color="auto" w:fill="auto"/>
            <w:vAlign w:val="center"/>
            <w:hideMark/>
          </w:tcPr>
          <w:p w14:paraId="4FD50AE8"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193</w:t>
            </w:r>
          </w:p>
        </w:tc>
        <w:tc>
          <w:tcPr>
            <w:tcW w:w="0" w:type="auto"/>
            <w:shd w:val="clear" w:color="auto" w:fill="auto"/>
            <w:vAlign w:val="center"/>
            <w:hideMark/>
          </w:tcPr>
          <w:p w14:paraId="3B10363B"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No</w:t>
            </w:r>
          </w:p>
        </w:tc>
      </w:tr>
      <w:tr w:rsidR="00CC5800" w:rsidRPr="00CC5800" w14:paraId="7BEA6F67" w14:textId="77777777" w:rsidTr="00CC5800">
        <w:tc>
          <w:tcPr>
            <w:tcW w:w="0" w:type="auto"/>
            <w:shd w:val="clear" w:color="auto" w:fill="auto"/>
            <w:vAlign w:val="center"/>
            <w:hideMark/>
          </w:tcPr>
          <w:p w14:paraId="4AC02EA5"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16507</w:t>
            </w:r>
          </w:p>
        </w:tc>
        <w:tc>
          <w:tcPr>
            <w:tcW w:w="0" w:type="auto"/>
            <w:shd w:val="clear" w:color="auto" w:fill="auto"/>
            <w:vAlign w:val="center"/>
            <w:hideMark/>
          </w:tcPr>
          <w:p w14:paraId="49CA5984"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$100.00</w:t>
            </w:r>
          </w:p>
        </w:tc>
        <w:tc>
          <w:tcPr>
            <w:tcW w:w="0" w:type="auto"/>
            <w:shd w:val="clear" w:color="auto" w:fill="auto"/>
            <w:vAlign w:val="center"/>
            <w:hideMark/>
          </w:tcPr>
          <w:p w14:paraId="72D8F42B"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Home Office</w:t>
            </w:r>
          </w:p>
        </w:tc>
        <w:tc>
          <w:tcPr>
            <w:tcW w:w="0" w:type="auto"/>
            <w:shd w:val="clear" w:color="auto" w:fill="auto"/>
            <w:vAlign w:val="center"/>
            <w:hideMark/>
          </w:tcPr>
          <w:p w14:paraId="081BFFF3"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310</w:t>
            </w:r>
          </w:p>
        </w:tc>
        <w:tc>
          <w:tcPr>
            <w:tcW w:w="0" w:type="auto"/>
            <w:shd w:val="clear" w:color="auto" w:fill="auto"/>
            <w:vAlign w:val="center"/>
            <w:hideMark/>
          </w:tcPr>
          <w:p w14:paraId="3536B72A"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559</w:t>
            </w:r>
          </w:p>
        </w:tc>
        <w:tc>
          <w:tcPr>
            <w:tcW w:w="0" w:type="auto"/>
            <w:shd w:val="clear" w:color="auto" w:fill="auto"/>
            <w:vAlign w:val="center"/>
            <w:hideMark/>
          </w:tcPr>
          <w:p w14:paraId="0F1D8E58"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Yes</w:t>
            </w:r>
          </w:p>
        </w:tc>
      </w:tr>
      <w:tr w:rsidR="00CC5800" w:rsidRPr="00CC5800" w14:paraId="1712A56F" w14:textId="77777777" w:rsidTr="00CC5800">
        <w:tc>
          <w:tcPr>
            <w:tcW w:w="0" w:type="auto"/>
            <w:shd w:val="clear" w:color="auto" w:fill="auto"/>
            <w:vAlign w:val="center"/>
            <w:hideMark/>
          </w:tcPr>
          <w:p w14:paraId="6BC0AD6A"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1232</w:t>
            </w:r>
          </w:p>
        </w:tc>
        <w:tc>
          <w:tcPr>
            <w:tcW w:w="0" w:type="auto"/>
            <w:shd w:val="clear" w:color="auto" w:fill="auto"/>
            <w:vAlign w:val="center"/>
            <w:hideMark/>
          </w:tcPr>
          <w:p w14:paraId="59C9A408"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$125.00</w:t>
            </w:r>
          </w:p>
        </w:tc>
        <w:tc>
          <w:tcPr>
            <w:tcW w:w="0" w:type="auto"/>
            <w:shd w:val="clear" w:color="auto" w:fill="auto"/>
            <w:vAlign w:val="center"/>
            <w:hideMark/>
          </w:tcPr>
          <w:p w14:paraId="27A6AFBC"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Party Supplies</w:t>
            </w:r>
          </w:p>
        </w:tc>
        <w:tc>
          <w:tcPr>
            <w:tcW w:w="0" w:type="auto"/>
            <w:shd w:val="clear" w:color="auto" w:fill="auto"/>
            <w:vAlign w:val="center"/>
            <w:hideMark/>
          </w:tcPr>
          <w:p w14:paraId="40B07732"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351</w:t>
            </w:r>
          </w:p>
        </w:tc>
        <w:tc>
          <w:tcPr>
            <w:tcW w:w="0" w:type="auto"/>
            <w:shd w:val="clear" w:color="auto" w:fill="auto"/>
            <w:vAlign w:val="center"/>
            <w:hideMark/>
          </w:tcPr>
          <w:p w14:paraId="4CD97FF9"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517</w:t>
            </w:r>
          </w:p>
        </w:tc>
        <w:tc>
          <w:tcPr>
            <w:tcW w:w="0" w:type="auto"/>
            <w:shd w:val="clear" w:color="auto" w:fill="auto"/>
            <w:vAlign w:val="center"/>
            <w:hideMark/>
          </w:tcPr>
          <w:p w14:paraId="4F0F3FE2"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No</w:t>
            </w:r>
          </w:p>
        </w:tc>
      </w:tr>
      <w:tr w:rsidR="00CC5800" w:rsidRPr="00CC5800" w14:paraId="1A59DEE0" w14:textId="77777777" w:rsidTr="00CC5800">
        <w:tc>
          <w:tcPr>
            <w:tcW w:w="0" w:type="auto"/>
            <w:shd w:val="clear" w:color="auto" w:fill="auto"/>
            <w:vAlign w:val="center"/>
            <w:hideMark/>
          </w:tcPr>
          <w:p w14:paraId="41614F1E"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3412</w:t>
            </w:r>
          </w:p>
        </w:tc>
        <w:tc>
          <w:tcPr>
            <w:tcW w:w="0" w:type="auto"/>
            <w:shd w:val="clear" w:color="auto" w:fill="auto"/>
            <w:vAlign w:val="center"/>
            <w:hideMark/>
          </w:tcPr>
          <w:p w14:paraId="4D2509CA"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$45.00</w:t>
            </w:r>
          </w:p>
        </w:tc>
        <w:tc>
          <w:tcPr>
            <w:tcW w:w="0" w:type="auto"/>
            <w:shd w:val="clear" w:color="auto" w:fill="auto"/>
            <w:vAlign w:val="center"/>
            <w:hideMark/>
          </w:tcPr>
          <w:p w14:paraId="20F566B2"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Gardening</w:t>
            </w:r>
          </w:p>
        </w:tc>
        <w:tc>
          <w:tcPr>
            <w:tcW w:w="0" w:type="auto"/>
            <w:shd w:val="clear" w:color="auto" w:fill="auto"/>
            <w:vAlign w:val="center"/>
            <w:hideMark/>
          </w:tcPr>
          <w:p w14:paraId="01718C1E"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901</w:t>
            </w:r>
          </w:p>
        </w:tc>
        <w:tc>
          <w:tcPr>
            <w:tcW w:w="0" w:type="auto"/>
            <w:shd w:val="clear" w:color="auto" w:fill="auto"/>
            <w:vAlign w:val="center"/>
            <w:hideMark/>
          </w:tcPr>
          <w:p w14:paraId="7C18F904"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942</w:t>
            </w:r>
          </w:p>
        </w:tc>
        <w:tc>
          <w:tcPr>
            <w:tcW w:w="0" w:type="auto"/>
            <w:shd w:val="clear" w:color="auto" w:fill="auto"/>
            <w:vAlign w:val="center"/>
            <w:hideMark/>
          </w:tcPr>
          <w:p w14:paraId="65160F67"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No</w:t>
            </w:r>
          </w:p>
        </w:tc>
      </w:tr>
      <w:tr w:rsidR="00CC5800" w:rsidRPr="00CC5800" w14:paraId="5DAF0F4B" w14:textId="77777777" w:rsidTr="00CC5800">
        <w:tc>
          <w:tcPr>
            <w:tcW w:w="0" w:type="auto"/>
            <w:shd w:val="clear" w:color="auto" w:fill="auto"/>
            <w:vAlign w:val="center"/>
            <w:hideMark/>
          </w:tcPr>
          <w:p w14:paraId="04C805E7"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54228</w:t>
            </w:r>
          </w:p>
        </w:tc>
        <w:tc>
          <w:tcPr>
            <w:tcW w:w="0" w:type="auto"/>
            <w:shd w:val="clear" w:color="auto" w:fill="auto"/>
            <w:vAlign w:val="center"/>
            <w:hideMark/>
          </w:tcPr>
          <w:p w14:paraId="0897302F"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$60.00</w:t>
            </w:r>
          </w:p>
        </w:tc>
        <w:tc>
          <w:tcPr>
            <w:tcW w:w="0" w:type="auto"/>
            <w:shd w:val="clear" w:color="auto" w:fill="auto"/>
            <w:vAlign w:val="center"/>
            <w:hideMark/>
          </w:tcPr>
          <w:p w14:paraId="2B203692"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Party Supplies</w:t>
            </w:r>
          </w:p>
        </w:tc>
        <w:tc>
          <w:tcPr>
            <w:tcW w:w="0" w:type="auto"/>
            <w:shd w:val="clear" w:color="auto" w:fill="auto"/>
            <w:vAlign w:val="center"/>
            <w:hideMark/>
          </w:tcPr>
          <w:p w14:paraId="0DDA3B0F"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139</w:t>
            </w:r>
          </w:p>
        </w:tc>
        <w:tc>
          <w:tcPr>
            <w:tcW w:w="0" w:type="auto"/>
            <w:shd w:val="clear" w:color="auto" w:fill="auto"/>
            <w:vAlign w:val="center"/>
            <w:hideMark/>
          </w:tcPr>
          <w:p w14:paraId="081874E3"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520</w:t>
            </w:r>
          </w:p>
        </w:tc>
        <w:tc>
          <w:tcPr>
            <w:tcW w:w="0" w:type="auto"/>
            <w:shd w:val="clear" w:color="auto" w:fill="auto"/>
            <w:vAlign w:val="center"/>
            <w:hideMark/>
          </w:tcPr>
          <w:p w14:paraId="2D48D20D"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No</w:t>
            </w:r>
          </w:p>
        </w:tc>
      </w:tr>
      <w:tr w:rsidR="00CC5800" w:rsidRPr="00CC5800" w14:paraId="7852F1AD" w14:textId="77777777" w:rsidTr="00CC5800">
        <w:tc>
          <w:tcPr>
            <w:tcW w:w="0" w:type="auto"/>
            <w:shd w:val="clear" w:color="auto" w:fill="auto"/>
            <w:vAlign w:val="center"/>
            <w:hideMark/>
          </w:tcPr>
          <w:p w14:paraId="1FEA9088"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66415</w:t>
            </w:r>
          </w:p>
        </w:tc>
        <w:tc>
          <w:tcPr>
            <w:tcW w:w="0" w:type="auto"/>
            <w:shd w:val="clear" w:color="auto" w:fill="auto"/>
            <w:vAlign w:val="center"/>
            <w:hideMark/>
          </w:tcPr>
          <w:p w14:paraId="04B7748C"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$38.00</w:t>
            </w:r>
          </w:p>
        </w:tc>
        <w:tc>
          <w:tcPr>
            <w:tcW w:w="0" w:type="auto"/>
            <w:shd w:val="clear" w:color="auto" w:fill="auto"/>
            <w:vAlign w:val="center"/>
            <w:hideMark/>
          </w:tcPr>
          <w:p w14:paraId="0CFEC8BF"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Home Decor</w:t>
            </w:r>
          </w:p>
        </w:tc>
        <w:tc>
          <w:tcPr>
            <w:tcW w:w="0" w:type="auto"/>
            <w:shd w:val="clear" w:color="auto" w:fill="auto"/>
            <w:vAlign w:val="center"/>
            <w:hideMark/>
          </w:tcPr>
          <w:p w14:paraId="25680F78"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615</w:t>
            </w:r>
          </w:p>
        </w:tc>
        <w:tc>
          <w:tcPr>
            <w:tcW w:w="0" w:type="auto"/>
            <w:shd w:val="clear" w:color="auto" w:fill="auto"/>
            <w:vAlign w:val="center"/>
            <w:hideMark/>
          </w:tcPr>
          <w:p w14:paraId="24263E65"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433</w:t>
            </w:r>
          </w:p>
        </w:tc>
        <w:tc>
          <w:tcPr>
            <w:tcW w:w="0" w:type="auto"/>
            <w:shd w:val="clear" w:color="auto" w:fill="auto"/>
            <w:vAlign w:val="center"/>
            <w:hideMark/>
          </w:tcPr>
          <w:p w14:paraId="6A346D53"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Yes</w:t>
            </w:r>
          </w:p>
        </w:tc>
      </w:tr>
      <w:tr w:rsidR="00CC5800" w:rsidRPr="00CC5800" w14:paraId="6012DCEE" w14:textId="77777777" w:rsidTr="00CC5800">
        <w:tc>
          <w:tcPr>
            <w:tcW w:w="0" w:type="auto"/>
            <w:shd w:val="clear" w:color="auto" w:fill="auto"/>
            <w:vAlign w:val="center"/>
            <w:hideMark/>
          </w:tcPr>
          <w:p w14:paraId="210E629A"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78736</w:t>
            </w:r>
          </w:p>
        </w:tc>
        <w:tc>
          <w:tcPr>
            <w:tcW w:w="0" w:type="auto"/>
            <w:shd w:val="clear" w:color="auto" w:fill="auto"/>
            <w:vAlign w:val="center"/>
            <w:hideMark/>
          </w:tcPr>
          <w:p w14:paraId="3FE95EE0"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$12.00</w:t>
            </w:r>
          </w:p>
        </w:tc>
        <w:tc>
          <w:tcPr>
            <w:tcW w:w="0" w:type="auto"/>
            <w:shd w:val="clear" w:color="auto" w:fill="auto"/>
            <w:vAlign w:val="center"/>
            <w:hideMark/>
          </w:tcPr>
          <w:p w14:paraId="76E9824D"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Grocery</w:t>
            </w:r>
          </w:p>
        </w:tc>
        <w:tc>
          <w:tcPr>
            <w:tcW w:w="0" w:type="auto"/>
            <w:shd w:val="clear" w:color="auto" w:fill="auto"/>
            <w:vAlign w:val="center"/>
            <w:hideMark/>
          </w:tcPr>
          <w:p w14:paraId="7738B663"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739</w:t>
            </w:r>
          </w:p>
        </w:tc>
        <w:tc>
          <w:tcPr>
            <w:tcW w:w="0" w:type="auto"/>
            <w:shd w:val="clear" w:color="auto" w:fill="auto"/>
            <w:vAlign w:val="center"/>
            <w:hideMark/>
          </w:tcPr>
          <w:p w14:paraId="55B9DBE4"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648</w:t>
            </w:r>
          </w:p>
        </w:tc>
        <w:tc>
          <w:tcPr>
            <w:tcW w:w="0" w:type="auto"/>
            <w:shd w:val="clear" w:color="auto" w:fill="auto"/>
            <w:vAlign w:val="center"/>
            <w:hideMark/>
          </w:tcPr>
          <w:p w14:paraId="56359145"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No</w:t>
            </w:r>
          </w:p>
        </w:tc>
      </w:tr>
      <w:tr w:rsidR="00CC5800" w:rsidRPr="00CC5800" w14:paraId="5A2B316F" w14:textId="77777777" w:rsidTr="00CC5800">
        <w:tc>
          <w:tcPr>
            <w:tcW w:w="0" w:type="auto"/>
            <w:shd w:val="clear" w:color="auto" w:fill="auto"/>
            <w:vAlign w:val="center"/>
            <w:hideMark/>
          </w:tcPr>
          <w:p w14:paraId="4EB280A2"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34369</w:t>
            </w:r>
          </w:p>
        </w:tc>
        <w:tc>
          <w:tcPr>
            <w:tcW w:w="0" w:type="auto"/>
            <w:shd w:val="clear" w:color="auto" w:fill="auto"/>
            <w:vAlign w:val="center"/>
            <w:hideMark/>
          </w:tcPr>
          <w:p w14:paraId="30FDAF74"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$28.00</w:t>
            </w:r>
          </w:p>
        </w:tc>
        <w:tc>
          <w:tcPr>
            <w:tcW w:w="0" w:type="auto"/>
            <w:shd w:val="clear" w:color="auto" w:fill="auto"/>
            <w:vAlign w:val="center"/>
            <w:hideMark/>
          </w:tcPr>
          <w:p w14:paraId="0F40BE80"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Gardening</w:t>
            </w:r>
          </w:p>
        </w:tc>
        <w:tc>
          <w:tcPr>
            <w:tcW w:w="0" w:type="auto"/>
            <w:shd w:val="clear" w:color="auto" w:fill="auto"/>
            <w:vAlign w:val="center"/>
            <w:hideMark/>
          </w:tcPr>
          <w:p w14:paraId="41D8E14F"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555</w:t>
            </w:r>
          </w:p>
        </w:tc>
        <w:tc>
          <w:tcPr>
            <w:tcW w:w="0" w:type="auto"/>
            <w:shd w:val="clear" w:color="auto" w:fill="auto"/>
            <w:vAlign w:val="center"/>
            <w:hideMark/>
          </w:tcPr>
          <w:p w14:paraId="38485F01"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389</w:t>
            </w:r>
          </w:p>
        </w:tc>
        <w:tc>
          <w:tcPr>
            <w:tcW w:w="0" w:type="auto"/>
            <w:shd w:val="clear" w:color="auto" w:fill="auto"/>
            <w:vAlign w:val="center"/>
            <w:hideMark/>
          </w:tcPr>
          <w:p w14:paraId="4B7171E5"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Yes</w:t>
            </w:r>
          </w:p>
        </w:tc>
      </w:tr>
    </w:tbl>
    <w:p w14:paraId="461467F5" w14:textId="77777777" w:rsidR="00CC5800" w:rsidRPr="00CC5800" w:rsidRDefault="00CC5800" w:rsidP="00CC5800">
      <w:pPr>
        <w:shd w:val="clear" w:color="auto" w:fill="FFFFFF"/>
        <w:spacing w:after="100" w:afterAutospacing="1"/>
        <w:rPr>
          <w:rFonts w:ascii="Arial" w:eastAsia="Times New Roman" w:hAnsi="Arial" w:cs="Arial"/>
          <w:color w:val="1F1F1F"/>
          <w:kern w:val="0"/>
          <w:sz w:val="21"/>
          <w:szCs w:val="21"/>
          <w14:ligatures w14:val="none"/>
        </w:rPr>
      </w:pPr>
      <w:r w:rsidRPr="00CC5800">
        <w:rPr>
          <w:rFonts w:ascii="Arial" w:eastAsia="Times New Roman" w:hAnsi="Arial" w:cs="Arial"/>
          <w:color w:val="1F1F1F"/>
          <w:kern w:val="0"/>
          <w:sz w:val="21"/>
          <w:szCs w:val="21"/>
          <w14:ligatures w14:val="none"/>
        </w:rPr>
        <w:t>This table is actually the final target table for data gathered from multiple sources. It's important to ensure consistency from the sources to the destination because this data is coming from different places within the system. This is where the data dictionary comes in:</w:t>
      </w:r>
    </w:p>
    <w:p w14:paraId="17E50CC8" w14:textId="77777777" w:rsidR="00CC5800" w:rsidRPr="00CC5800" w:rsidRDefault="00CC5800" w:rsidP="00CC5800">
      <w:pPr>
        <w:shd w:val="clear" w:color="auto" w:fill="FFFFFF"/>
        <w:spacing w:after="100" w:afterAutospacing="1"/>
        <w:rPr>
          <w:rFonts w:ascii="Arial" w:eastAsia="Times New Roman" w:hAnsi="Arial" w:cs="Arial"/>
          <w:color w:val="1F1F1F"/>
          <w:kern w:val="0"/>
          <w:sz w:val="21"/>
          <w:szCs w:val="21"/>
          <w14:ligatures w14:val="none"/>
        </w:rPr>
      </w:pPr>
      <w:r w:rsidRPr="00CC5800">
        <w:rPr>
          <w:rFonts w:ascii="unset" w:eastAsia="Times New Roman" w:hAnsi="unset" w:cs="Arial"/>
          <w:b/>
          <w:bCs/>
          <w:color w:val="1F1F1F"/>
          <w:kern w:val="0"/>
          <w:sz w:val="21"/>
          <w:szCs w:val="21"/>
          <w14:ligatures w14:val="none"/>
        </w:rPr>
        <w:t>Data dictionary</w:t>
      </w:r>
    </w:p>
    <w:tbl>
      <w:tblPr>
        <w:tblW w:w="11850" w:type="dxa"/>
        <w:tblCellMar>
          <w:top w:w="15" w:type="dxa"/>
          <w:left w:w="15" w:type="dxa"/>
          <w:bottom w:w="15" w:type="dxa"/>
          <w:right w:w="15" w:type="dxa"/>
        </w:tblCellMar>
        <w:tblLook w:val="04A0" w:firstRow="1" w:lastRow="0" w:firstColumn="1" w:lastColumn="0" w:noHBand="0" w:noVBand="1"/>
      </w:tblPr>
      <w:tblGrid>
        <w:gridCol w:w="2425"/>
        <w:gridCol w:w="7870"/>
        <w:gridCol w:w="1555"/>
      </w:tblGrid>
      <w:tr w:rsidR="00CC5800" w:rsidRPr="00CC5800" w14:paraId="4497F36F" w14:textId="77777777" w:rsidTr="00CC5800">
        <w:trPr>
          <w:tblHeader/>
        </w:trPr>
        <w:tc>
          <w:tcPr>
            <w:tcW w:w="0" w:type="auto"/>
            <w:shd w:val="clear" w:color="auto" w:fill="auto"/>
            <w:vAlign w:val="center"/>
            <w:hideMark/>
          </w:tcPr>
          <w:p w14:paraId="492801EA" w14:textId="77777777" w:rsidR="00CC5800" w:rsidRPr="00CC5800" w:rsidRDefault="00CC5800" w:rsidP="00CC5800">
            <w:pPr>
              <w:rPr>
                <w:rFonts w:ascii="Times New Roman" w:eastAsia="Times New Roman" w:hAnsi="Times New Roman" w:cs="Times New Roman"/>
                <w:b/>
                <w:bCs/>
                <w:kern w:val="0"/>
                <w14:ligatures w14:val="none"/>
              </w:rPr>
            </w:pPr>
            <w:r w:rsidRPr="00CC5800">
              <w:rPr>
                <w:rFonts w:ascii="unset" w:eastAsia="Times New Roman" w:hAnsi="unset" w:cs="Times New Roman"/>
                <w:b/>
                <w:bCs/>
                <w:kern w:val="0"/>
                <w14:ligatures w14:val="none"/>
              </w:rPr>
              <w:t>Name</w:t>
            </w:r>
          </w:p>
        </w:tc>
        <w:tc>
          <w:tcPr>
            <w:tcW w:w="0" w:type="auto"/>
            <w:shd w:val="clear" w:color="auto" w:fill="auto"/>
            <w:vAlign w:val="center"/>
            <w:hideMark/>
          </w:tcPr>
          <w:p w14:paraId="1EDE3CC3" w14:textId="77777777" w:rsidR="00CC5800" w:rsidRPr="00CC5800" w:rsidRDefault="00CC5800" w:rsidP="00CC5800">
            <w:pPr>
              <w:rPr>
                <w:rFonts w:ascii="Times New Roman" w:eastAsia="Times New Roman" w:hAnsi="Times New Roman" w:cs="Times New Roman"/>
                <w:b/>
                <w:bCs/>
                <w:kern w:val="0"/>
                <w14:ligatures w14:val="none"/>
              </w:rPr>
            </w:pPr>
            <w:r w:rsidRPr="00CC5800">
              <w:rPr>
                <w:rFonts w:ascii="unset" w:eastAsia="Times New Roman" w:hAnsi="unset" w:cs="Times New Roman"/>
                <w:b/>
                <w:bCs/>
                <w:kern w:val="0"/>
                <w14:ligatures w14:val="none"/>
              </w:rPr>
              <w:t>Definition</w:t>
            </w:r>
          </w:p>
        </w:tc>
        <w:tc>
          <w:tcPr>
            <w:tcW w:w="0" w:type="auto"/>
            <w:shd w:val="clear" w:color="auto" w:fill="auto"/>
            <w:vAlign w:val="center"/>
            <w:hideMark/>
          </w:tcPr>
          <w:p w14:paraId="4ECDB4A5" w14:textId="77777777" w:rsidR="00CC5800" w:rsidRPr="00CC5800" w:rsidRDefault="00CC5800" w:rsidP="00CC5800">
            <w:pPr>
              <w:rPr>
                <w:rFonts w:ascii="Times New Roman" w:eastAsia="Times New Roman" w:hAnsi="Times New Roman" w:cs="Times New Roman"/>
                <w:b/>
                <w:bCs/>
                <w:kern w:val="0"/>
                <w14:ligatures w14:val="none"/>
              </w:rPr>
            </w:pPr>
            <w:r w:rsidRPr="00CC5800">
              <w:rPr>
                <w:rFonts w:ascii="unset" w:eastAsia="Times New Roman" w:hAnsi="unset" w:cs="Times New Roman"/>
                <w:b/>
                <w:bCs/>
                <w:kern w:val="0"/>
                <w14:ligatures w14:val="none"/>
              </w:rPr>
              <w:t>Data Type</w:t>
            </w:r>
          </w:p>
        </w:tc>
      </w:tr>
      <w:tr w:rsidR="00CC5800" w:rsidRPr="00CC5800" w14:paraId="61A64593" w14:textId="77777777" w:rsidTr="00CC5800">
        <w:tc>
          <w:tcPr>
            <w:tcW w:w="0" w:type="auto"/>
            <w:shd w:val="clear" w:color="auto" w:fill="auto"/>
            <w:vAlign w:val="center"/>
            <w:hideMark/>
          </w:tcPr>
          <w:p w14:paraId="1462CCD5"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Item_ID</w:t>
            </w:r>
          </w:p>
        </w:tc>
        <w:tc>
          <w:tcPr>
            <w:tcW w:w="0" w:type="auto"/>
            <w:shd w:val="clear" w:color="auto" w:fill="auto"/>
            <w:vAlign w:val="center"/>
            <w:hideMark/>
          </w:tcPr>
          <w:p w14:paraId="2D58C340"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ID number assigned to all product items in-store</w:t>
            </w:r>
          </w:p>
        </w:tc>
        <w:tc>
          <w:tcPr>
            <w:tcW w:w="0" w:type="auto"/>
            <w:shd w:val="clear" w:color="auto" w:fill="auto"/>
            <w:vAlign w:val="center"/>
            <w:hideMark/>
          </w:tcPr>
          <w:p w14:paraId="414726BF"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Integer</w:t>
            </w:r>
          </w:p>
        </w:tc>
      </w:tr>
      <w:tr w:rsidR="00CC5800" w:rsidRPr="00CC5800" w14:paraId="222A48EF" w14:textId="77777777" w:rsidTr="00CC5800">
        <w:tc>
          <w:tcPr>
            <w:tcW w:w="0" w:type="auto"/>
            <w:shd w:val="clear" w:color="auto" w:fill="auto"/>
            <w:vAlign w:val="center"/>
            <w:hideMark/>
          </w:tcPr>
          <w:p w14:paraId="42C81096"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Price</w:t>
            </w:r>
          </w:p>
        </w:tc>
        <w:tc>
          <w:tcPr>
            <w:tcW w:w="0" w:type="auto"/>
            <w:shd w:val="clear" w:color="auto" w:fill="auto"/>
            <w:vAlign w:val="center"/>
            <w:hideMark/>
          </w:tcPr>
          <w:p w14:paraId="103131D2"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Current price of product item</w:t>
            </w:r>
          </w:p>
        </w:tc>
        <w:tc>
          <w:tcPr>
            <w:tcW w:w="0" w:type="auto"/>
            <w:shd w:val="clear" w:color="auto" w:fill="auto"/>
            <w:vAlign w:val="center"/>
            <w:hideMark/>
          </w:tcPr>
          <w:p w14:paraId="4A510B46"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Integer</w:t>
            </w:r>
          </w:p>
        </w:tc>
      </w:tr>
      <w:tr w:rsidR="00CC5800" w:rsidRPr="00CC5800" w14:paraId="54E4C059" w14:textId="77777777" w:rsidTr="00CC5800">
        <w:tc>
          <w:tcPr>
            <w:tcW w:w="0" w:type="auto"/>
            <w:shd w:val="clear" w:color="auto" w:fill="auto"/>
            <w:vAlign w:val="center"/>
            <w:hideMark/>
          </w:tcPr>
          <w:p w14:paraId="4B3CBDC2"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Department</w:t>
            </w:r>
          </w:p>
        </w:tc>
        <w:tc>
          <w:tcPr>
            <w:tcW w:w="0" w:type="auto"/>
            <w:shd w:val="clear" w:color="auto" w:fill="auto"/>
            <w:vAlign w:val="center"/>
            <w:hideMark/>
          </w:tcPr>
          <w:p w14:paraId="74489982"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Which department the product item belongs to</w:t>
            </w:r>
          </w:p>
        </w:tc>
        <w:tc>
          <w:tcPr>
            <w:tcW w:w="0" w:type="auto"/>
            <w:shd w:val="clear" w:color="auto" w:fill="auto"/>
            <w:vAlign w:val="center"/>
            <w:hideMark/>
          </w:tcPr>
          <w:p w14:paraId="20360EDC"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Character</w:t>
            </w:r>
          </w:p>
        </w:tc>
      </w:tr>
      <w:tr w:rsidR="00CC5800" w:rsidRPr="00CC5800" w14:paraId="0BDA75CF" w14:textId="77777777" w:rsidTr="00CC5800">
        <w:tc>
          <w:tcPr>
            <w:tcW w:w="0" w:type="auto"/>
            <w:shd w:val="clear" w:color="auto" w:fill="auto"/>
            <w:vAlign w:val="center"/>
            <w:hideMark/>
          </w:tcPr>
          <w:p w14:paraId="66B3F989"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Number_of_Sales</w:t>
            </w:r>
          </w:p>
        </w:tc>
        <w:tc>
          <w:tcPr>
            <w:tcW w:w="0" w:type="auto"/>
            <w:shd w:val="clear" w:color="auto" w:fill="auto"/>
            <w:vAlign w:val="center"/>
            <w:hideMark/>
          </w:tcPr>
          <w:p w14:paraId="2178E97E"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The current number of product items sold</w:t>
            </w:r>
          </w:p>
        </w:tc>
        <w:tc>
          <w:tcPr>
            <w:tcW w:w="0" w:type="auto"/>
            <w:shd w:val="clear" w:color="auto" w:fill="auto"/>
            <w:vAlign w:val="center"/>
            <w:hideMark/>
          </w:tcPr>
          <w:p w14:paraId="36A24FC1"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Integer</w:t>
            </w:r>
          </w:p>
        </w:tc>
      </w:tr>
      <w:tr w:rsidR="00CC5800" w:rsidRPr="00CC5800" w14:paraId="1677E468" w14:textId="77777777" w:rsidTr="00CC5800">
        <w:tc>
          <w:tcPr>
            <w:tcW w:w="0" w:type="auto"/>
            <w:shd w:val="clear" w:color="auto" w:fill="auto"/>
            <w:vAlign w:val="center"/>
            <w:hideMark/>
          </w:tcPr>
          <w:p w14:paraId="56E63FBE"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Number_in_Stock</w:t>
            </w:r>
          </w:p>
        </w:tc>
        <w:tc>
          <w:tcPr>
            <w:tcW w:w="0" w:type="auto"/>
            <w:shd w:val="clear" w:color="auto" w:fill="auto"/>
            <w:vAlign w:val="center"/>
            <w:hideMark/>
          </w:tcPr>
          <w:p w14:paraId="5A28490B"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The current number of product items in stock</w:t>
            </w:r>
          </w:p>
        </w:tc>
        <w:tc>
          <w:tcPr>
            <w:tcW w:w="0" w:type="auto"/>
            <w:shd w:val="clear" w:color="auto" w:fill="auto"/>
            <w:vAlign w:val="center"/>
            <w:hideMark/>
          </w:tcPr>
          <w:p w14:paraId="56870FD9"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Integer</w:t>
            </w:r>
          </w:p>
        </w:tc>
      </w:tr>
      <w:tr w:rsidR="00CC5800" w:rsidRPr="00CC5800" w14:paraId="5215025E" w14:textId="77777777" w:rsidTr="00CC5800">
        <w:tc>
          <w:tcPr>
            <w:tcW w:w="0" w:type="auto"/>
            <w:shd w:val="clear" w:color="auto" w:fill="auto"/>
            <w:vAlign w:val="center"/>
            <w:hideMark/>
          </w:tcPr>
          <w:p w14:paraId="108224D4"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Seasonal</w:t>
            </w:r>
          </w:p>
        </w:tc>
        <w:tc>
          <w:tcPr>
            <w:tcW w:w="0" w:type="auto"/>
            <w:shd w:val="clear" w:color="auto" w:fill="auto"/>
            <w:vAlign w:val="center"/>
            <w:hideMark/>
          </w:tcPr>
          <w:p w14:paraId="6BCB9196"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Whether or not the product item is only seasonally available</w:t>
            </w:r>
          </w:p>
        </w:tc>
        <w:tc>
          <w:tcPr>
            <w:tcW w:w="0" w:type="auto"/>
            <w:shd w:val="clear" w:color="auto" w:fill="auto"/>
            <w:vAlign w:val="center"/>
            <w:hideMark/>
          </w:tcPr>
          <w:p w14:paraId="7B9D06A6" w14:textId="77777777" w:rsidR="00CC5800" w:rsidRPr="00CC5800" w:rsidRDefault="00CC5800" w:rsidP="00CC5800">
            <w:pPr>
              <w:rPr>
                <w:rFonts w:ascii="Times New Roman" w:eastAsia="Times New Roman" w:hAnsi="Times New Roman" w:cs="Times New Roman"/>
                <w:kern w:val="0"/>
                <w14:ligatures w14:val="none"/>
              </w:rPr>
            </w:pPr>
            <w:r w:rsidRPr="00CC5800">
              <w:rPr>
                <w:rFonts w:ascii="Times New Roman" w:eastAsia="Times New Roman" w:hAnsi="Times New Roman" w:cs="Times New Roman"/>
                <w:kern w:val="0"/>
                <w14:ligatures w14:val="none"/>
              </w:rPr>
              <w:t>Boolean</w:t>
            </w:r>
          </w:p>
        </w:tc>
      </w:tr>
    </w:tbl>
    <w:p w14:paraId="0B08B7ED" w14:textId="77777777" w:rsidR="00CC5800" w:rsidRPr="00CC5800" w:rsidRDefault="00CC5800" w:rsidP="00CC5800">
      <w:pPr>
        <w:shd w:val="clear" w:color="auto" w:fill="FFFFFF"/>
        <w:spacing w:after="100" w:afterAutospacing="1"/>
        <w:rPr>
          <w:rFonts w:ascii="Arial" w:eastAsia="Times New Roman" w:hAnsi="Arial" w:cs="Arial"/>
          <w:color w:val="1F1F1F"/>
          <w:kern w:val="0"/>
          <w:sz w:val="21"/>
          <w:szCs w:val="21"/>
          <w14:ligatures w14:val="none"/>
        </w:rPr>
      </w:pPr>
      <w:r w:rsidRPr="00CC5800">
        <w:rPr>
          <w:rFonts w:ascii="Arial" w:eastAsia="Times New Roman" w:hAnsi="Arial" w:cs="Arial"/>
          <w:color w:val="1F1F1F"/>
          <w:kern w:val="0"/>
          <w:sz w:val="21"/>
          <w:szCs w:val="21"/>
          <w14:ligatures w14:val="none"/>
        </w:rPr>
        <w:t>You can use the properties outlined in the dictionary to compare incoming data to the destination table. If any data objects don’t match the entries in the dictionary, then the data validation will flag the error before the incorrect data is ingested.</w:t>
      </w:r>
    </w:p>
    <w:p w14:paraId="6884C886" w14:textId="77777777" w:rsidR="00CC5800" w:rsidRPr="00CC5800" w:rsidRDefault="00CC5800" w:rsidP="00CC5800">
      <w:pPr>
        <w:shd w:val="clear" w:color="auto" w:fill="FFFFFF"/>
        <w:spacing w:after="100" w:afterAutospacing="1"/>
        <w:rPr>
          <w:rFonts w:ascii="Arial" w:eastAsia="Times New Roman" w:hAnsi="Arial" w:cs="Arial"/>
          <w:color w:val="1F1F1F"/>
          <w:kern w:val="0"/>
          <w:sz w:val="21"/>
          <w:szCs w:val="21"/>
          <w14:ligatures w14:val="none"/>
        </w:rPr>
      </w:pPr>
      <w:r w:rsidRPr="00CC5800">
        <w:rPr>
          <w:rFonts w:ascii="Arial" w:eastAsia="Times New Roman" w:hAnsi="Arial" w:cs="Arial"/>
          <w:color w:val="1F1F1F"/>
          <w:kern w:val="0"/>
          <w:sz w:val="21"/>
          <w:szCs w:val="21"/>
          <w14:ligatures w14:val="none"/>
        </w:rPr>
        <w:lastRenderedPageBreak/>
        <w:t>For example, if incoming data that is being delivered to the Department column contains numerical data, you can quickly identify that there has been an error before it gets delivered because the data dictionary states Department data should be character-type.</w:t>
      </w:r>
    </w:p>
    <w:p w14:paraId="490DBD2E" w14:textId="77777777" w:rsidR="00CC5800" w:rsidRPr="00CC5800" w:rsidRDefault="00CC5800" w:rsidP="00CC580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CC5800">
        <w:rPr>
          <w:rFonts w:ascii="Arial" w:eastAsia="Times New Roman" w:hAnsi="Arial" w:cs="Arial"/>
          <w:b/>
          <w:bCs/>
          <w:color w:val="1F1F1F"/>
          <w:kern w:val="0"/>
          <w:sz w:val="36"/>
          <w:szCs w:val="36"/>
          <w14:ligatures w14:val="none"/>
        </w:rPr>
        <w:t>Data lineages</w:t>
      </w:r>
    </w:p>
    <w:p w14:paraId="2F1F7B42" w14:textId="77777777" w:rsidR="00CC5800" w:rsidRPr="00CC5800" w:rsidRDefault="00CC5800" w:rsidP="00CC5800">
      <w:pPr>
        <w:shd w:val="clear" w:color="auto" w:fill="FFFFFF"/>
        <w:spacing w:after="100" w:afterAutospacing="1"/>
        <w:rPr>
          <w:rFonts w:ascii="Arial" w:eastAsia="Times New Roman" w:hAnsi="Arial" w:cs="Arial"/>
          <w:color w:val="1F1F1F"/>
          <w:kern w:val="0"/>
          <w:sz w:val="21"/>
          <w:szCs w:val="21"/>
          <w14:ligatures w14:val="none"/>
        </w:rPr>
      </w:pPr>
      <w:r w:rsidRPr="00CC5800">
        <w:rPr>
          <w:rFonts w:ascii="Arial" w:eastAsia="Times New Roman" w:hAnsi="Arial" w:cs="Arial"/>
          <w:color w:val="1F1F1F"/>
          <w:kern w:val="0"/>
          <w:sz w:val="21"/>
          <w:szCs w:val="21"/>
          <w14:ligatures w14:val="none"/>
        </w:rPr>
        <w:t>A data lineage describes the process of identifying the origin of data, where it has moved throughout the system, and how it has transformed over time. This can be really helpful for BI professionals, because when they do encounter an error, they can actually track it to the source using the lineage. Then, they can implement checks to prevent the same issue from occuring again.</w:t>
      </w:r>
    </w:p>
    <w:p w14:paraId="65C85BE1" w14:textId="77777777" w:rsidR="00CC5800" w:rsidRPr="00CC5800" w:rsidRDefault="00CC5800" w:rsidP="00CC5800">
      <w:pPr>
        <w:shd w:val="clear" w:color="auto" w:fill="FFFFFF"/>
        <w:spacing w:after="100" w:afterAutospacing="1"/>
        <w:rPr>
          <w:rFonts w:ascii="Arial" w:eastAsia="Times New Roman" w:hAnsi="Arial" w:cs="Arial"/>
          <w:color w:val="1F1F1F"/>
          <w:kern w:val="0"/>
          <w:sz w:val="21"/>
          <w:szCs w:val="21"/>
          <w14:ligatures w14:val="none"/>
        </w:rPr>
      </w:pPr>
      <w:r w:rsidRPr="00CC5800">
        <w:rPr>
          <w:rFonts w:ascii="Arial" w:eastAsia="Times New Roman" w:hAnsi="Arial" w:cs="Arial"/>
          <w:color w:val="1F1F1F"/>
          <w:kern w:val="0"/>
          <w:sz w:val="21"/>
          <w:szCs w:val="21"/>
          <w14:ligatures w14:val="none"/>
        </w:rPr>
        <w:t>For example, imagine your system flagged an error with some incoming data about the number of sales for a particular item. It can be hard to find where this error occurred if you don’t know the lineage of that particular piece of data– but by following that data’s path through your system, you can figure out where to build a check.</w:t>
      </w:r>
    </w:p>
    <w:p w14:paraId="5279BCD3" w14:textId="12E8E2A8" w:rsidR="00CC5800" w:rsidRPr="00CC5800" w:rsidRDefault="00CC5800" w:rsidP="00CC5800">
      <w:pPr>
        <w:shd w:val="clear" w:color="auto" w:fill="FFFFFF"/>
        <w:rPr>
          <w:rFonts w:ascii="Arial" w:eastAsia="Times New Roman" w:hAnsi="Arial" w:cs="Arial"/>
          <w:color w:val="1F1F1F"/>
          <w:kern w:val="0"/>
          <w:sz w:val="21"/>
          <w:szCs w:val="21"/>
          <w14:ligatures w14:val="none"/>
        </w:rPr>
      </w:pPr>
      <w:r w:rsidRPr="00CC5800">
        <w:rPr>
          <w:rFonts w:ascii="Arial" w:eastAsia="Times New Roman" w:hAnsi="Arial" w:cs="Arial"/>
          <w:color w:val="1F1F1F"/>
          <w:kern w:val="0"/>
          <w:sz w:val="21"/>
          <w:szCs w:val="21"/>
          <w14:ligatures w14:val="none"/>
        </w:rPr>
        <w:fldChar w:fldCharType="begin"/>
      </w:r>
      <w:r w:rsidRPr="00CC5800">
        <w:rPr>
          <w:rFonts w:ascii="Arial" w:eastAsia="Times New Roman" w:hAnsi="Arial" w:cs="Arial"/>
          <w:color w:val="1F1F1F"/>
          <w:kern w:val="0"/>
          <w:sz w:val="21"/>
          <w:szCs w:val="21"/>
          <w14:ligatures w14:val="none"/>
        </w:rPr>
        <w:instrText xml:space="preserve"> INCLUDEPICTURE "https://d3c33hcgiwev3.cloudfront.net/imageAssetProxy.v1/OH39s0JTSs2caqKly7mNQg_6aa718be90a04a7d83db3c0139ce09f1_BI_R-100.png?expiry=1690243200000&amp;hmac=tXcavw2mAy0T1GMYItDT6gmnUBgaahI889Be5DqJ_nY" \* MERGEFORMATINET </w:instrText>
      </w:r>
      <w:r w:rsidRPr="00CC5800">
        <w:rPr>
          <w:rFonts w:ascii="Arial" w:eastAsia="Times New Roman" w:hAnsi="Arial" w:cs="Arial"/>
          <w:color w:val="1F1F1F"/>
          <w:kern w:val="0"/>
          <w:sz w:val="21"/>
          <w:szCs w:val="21"/>
          <w14:ligatures w14:val="none"/>
        </w:rPr>
        <w:fldChar w:fldCharType="separate"/>
      </w:r>
      <w:r w:rsidRPr="00CC5800">
        <w:rPr>
          <w:rFonts w:ascii="Arial" w:eastAsia="Times New Roman" w:hAnsi="Arial" w:cs="Arial"/>
          <w:noProof/>
          <w:color w:val="1F1F1F"/>
          <w:kern w:val="0"/>
          <w:sz w:val="21"/>
          <w:szCs w:val="21"/>
          <w14:ligatures w14:val="none"/>
        </w:rPr>
        <w:drawing>
          <wp:inline distT="0" distB="0" distL="0" distR="0" wp14:anchorId="5DCB2B44" wp14:editId="31D9FDC3">
            <wp:extent cx="5943600" cy="2343150"/>
            <wp:effectExtent l="0" t="0" r="0" b="6350"/>
            <wp:docPr id="262417155" name="Picture 1" descr="An illustration of data moving through a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llustration of data moving through a syste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r w:rsidRPr="00CC5800">
        <w:rPr>
          <w:rFonts w:ascii="Arial" w:eastAsia="Times New Roman" w:hAnsi="Arial" w:cs="Arial"/>
          <w:color w:val="1F1F1F"/>
          <w:kern w:val="0"/>
          <w:sz w:val="21"/>
          <w:szCs w:val="21"/>
          <w14:ligatures w14:val="none"/>
        </w:rPr>
        <w:fldChar w:fldCharType="end"/>
      </w:r>
    </w:p>
    <w:p w14:paraId="234DCEAF" w14:textId="77777777" w:rsidR="00CC5800" w:rsidRPr="00CC5800" w:rsidRDefault="00CC5800" w:rsidP="00CC5800">
      <w:pPr>
        <w:shd w:val="clear" w:color="auto" w:fill="FFFFFF"/>
        <w:spacing w:after="100" w:afterAutospacing="1"/>
        <w:rPr>
          <w:rFonts w:ascii="Arial" w:eastAsia="Times New Roman" w:hAnsi="Arial" w:cs="Arial"/>
          <w:color w:val="1F1F1F"/>
          <w:kern w:val="0"/>
          <w:sz w:val="21"/>
          <w:szCs w:val="21"/>
          <w14:ligatures w14:val="none"/>
        </w:rPr>
      </w:pPr>
      <w:r w:rsidRPr="00CC5800">
        <w:rPr>
          <w:rFonts w:ascii="Arial" w:eastAsia="Times New Roman" w:hAnsi="Arial" w:cs="Arial"/>
          <w:color w:val="1F1F1F"/>
          <w:kern w:val="0"/>
          <w:sz w:val="21"/>
          <w:szCs w:val="21"/>
          <w14:ligatures w14:val="none"/>
        </w:rPr>
        <w:t>By tracking the sales data through its life cycle in the system, you find that there was an issue with the original database it came from and that data needs to be transformed before it’s ingested into later tables.</w:t>
      </w:r>
    </w:p>
    <w:p w14:paraId="7AFED5DB" w14:textId="77777777" w:rsidR="00CC5800" w:rsidRPr="00CC5800" w:rsidRDefault="00CC5800" w:rsidP="00CC580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CC5800">
        <w:rPr>
          <w:rFonts w:ascii="Arial" w:eastAsia="Times New Roman" w:hAnsi="Arial" w:cs="Arial"/>
          <w:b/>
          <w:bCs/>
          <w:color w:val="1F1F1F"/>
          <w:kern w:val="0"/>
          <w:sz w:val="36"/>
          <w:szCs w:val="36"/>
          <w14:ligatures w14:val="none"/>
        </w:rPr>
        <w:t>Key takeaways</w:t>
      </w:r>
    </w:p>
    <w:p w14:paraId="1D5F1AF0" w14:textId="77777777" w:rsidR="00CC5800" w:rsidRPr="00CC5800" w:rsidRDefault="00CC5800" w:rsidP="00CC5800">
      <w:pPr>
        <w:shd w:val="clear" w:color="auto" w:fill="FFFFFF"/>
        <w:rPr>
          <w:rFonts w:ascii="Arial" w:eastAsia="Times New Roman" w:hAnsi="Arial" w:cs="Arial"/>
          <w:color w:val="1F1F1F"/>
          <w:kern w:val="0"/>
          <w:sz w:val="21"/>
          <w:szCs w:val="21"/>
          <w14:ligatures w14:val="none"/>
        </w:rPr>
      </w:pPr>
      <w:r w:rsidRPr="00CC5800">
        <w:rPr>
          <w:rFonts w:ascii="Arial" w:eastAsia="Times New Roman" w:hAnsi="Arial" w:cs="Arial"/>
          <w:color w:val="1F1F1F"/>
          <w:kern w:val="0"/>
          <w:sz w:val="21"/>
          <w:szCs w:val="21"/>
          <w14:ligatures w14:val="none"/>
        </w:rPr>
        <w:t>Tools such as data dictionaries and data lineages are useful for preventing inconsistencies as data is moved from source systems to its final destination. It is important that users accessing and using that data can be confident that it is correct and consistent. This depends on the data being delivered into the target systems has already been validated. This is key for building trustworthy reports and dashboards as a BI professional!</w:t>
      </w:r>
    </w:p>
    <w:p w14:paraId="4391BC68"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800"/>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63FF7"/>
    <w:rsid w:val="003878F4"/>
    <w:rsid w:val="003B33BE"/>
    <w:rsid w:val="003D15D2"/>
    <w:rsid w:val="003F0118"/>
    <w:rsid w:val="003F0684"/>
    <w:rsid w:val="0042366A"/>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305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CC580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13BC48"/>
  <w15:chartTrackingRefBased/>
  <w15:docId w15:val="{B389F2F9-5C87-5547-8DF8-C6AA5E517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5800"/>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C5800"/>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80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C580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C580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C58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879761">
      <w:bodyDiv w:val="1"/>
      <w:marLeft w:val="0"/>
      <w:marRight w:val="0"/>
      <w:marTop w:val="0"/>
      <w:marBottom w:val="0"/>
      <w:divBdr>
        <w:top w:val="none" w:sz="0" w:space="0" w:color="auto"/>
        <w:left w:val="none" w:sz="0" w:space="0" w:color="auto"/>
        <w:bottom w:val="none" w:sz="0" w:space="0" w:color="auto"/>
        <w:right w:val="none" w:sz="0" w:space="0" w:color="auto"/>
      </w:divBdr>
      <w:divsChild>
        <w:div w:id="887687326">
          <w:marLeft w:val="0"/>
          <w:marRight w:val="0"/>
          <w:marTop w:val="0"/>
          <w:marBottom w:val="0"/>
          <w:divBdr>
            <w:top w:val="none" w:sz="0" w:space="0" w:color="auto"/>
            <w:left w:val="none" w:sz="0" w:space="0" w:color="auto"/>
            <w:bottom w:val="none" w:sz="0" w:space="0" w:color="auto"/>
            <w:right w:val="none" w:sz="0" w:space="0" w:color="auto"/>
          </w:divBdr>
        </w:div>
        <w:div w:id="1002468679">
          <w:marLeft w:val="0"/>
          <w:marRight w:val="0"/>
          <w:marTop w:val="0"/>
          <w:marBottom w:val="0"/>
          <w:divBdr>
            <w:top w:val="none" w:sz="0" w:space="0" w:color="auto"/>
            <w:left w:val="none" w:sz="0" w:space="0" w:color="auto"/>
            <w:bottom w:val="none" w:sz="0" w:space="0" w:color="auto"/>
            <w:right w:val="none" w:sz="0" w:space="0" w:color="auto"/>
          </w:divBdr>
          <w:divsChild>
            <w:div w:id="884372319">
              <w:marLeft w:val="0"/>
              <w:marRight w:val="0"/>
              <w:marTop w:val="0"/>
              <w:marBottom w:val="0"/>
              <w:divBdr>
                <w:top w:val="none" w:sz="0" w:space="0" w:color="auto"/>
                <w:left w:val="none" w:sz="0" w:space="0" w:color="auto"/>
                <w:bottom w:val="none" w:sz="0" w:space="0" w:color="auto"/>
                <w:right w:val="none" w:sz="0" w:space="0" w:color="auto"/>
              </w:divBdr>
              <w:divsChild>
                <w:div w:id="1865710642">
                  <w:marLeft w:val="0"/>
                  <w:marRight w:val="0"/>
                  <w:marTop w:val="0"/>
                  <w:marBottom w:val="0"/>
                  <w:divBdr>
                    <w:top w:val="none" w:sz="0" w:space="0" w:color="auto"/>
                    <w:left w:val="none" w:sz="0" w:space="0" w:color="auto"/>
                    <w:bottom w:val="none" w:sz="0" w:space="0" w:color="auto"/>
                    <w:right w:val="none" w:sz="0" w:space="0" w:color="auto"/>
                  </w:divBdr>
                  <w:divsChild>
                    <w:div w:id="1037193164">
                      <w:marLeft w:val="0"/>
                      <w:marRight w:val="0"/>
                      <w:marTop w:val="0"/>
                      <w:marBottom w:val="0"/>
                      <w:divBdr>
                        <w:top w:val="none" w:sz="0" w:space="0" w:color="auto"/>
                        <w:left w:val="none" w:sz="0" w:space="0" w:color="auto"/>
                        <w:bottom w:val="none" w:sz="0" w:space="0" w:color="auto"/>
                        <w:right w:val="none" w:sz="0" w:space="0" w:color="auto"/>
                      </w:divBdr>
                      <w:divsChild>
                        <w:div w:id="1291479793">
                          <w:marLeft w:val="0"/>
                          <w:marRight w:val="0"/>
                          <w:marTop w:val="0"/>
                          <w:marBottom w:val="0"/>
                          <w:divBdr>
                            <w:top w:val="none" w:sz="0" w:space="0" w:color="auto"/>
                            <w:left w:val="none" w:sz="0" w:space="0" w:color="auto"/>
                            <w:bottom w:val="none" w:sz="0" w:space="0" w:color="auto"/>
                            <w:right w:val="none" w:sz="0" w:space="0" w:color="auto"/>
                          </w:divBdr>
                          <w:divsChild>
                            <w:div w:id="1455052583">
                              <w:marLeft w:val="0"/>
                              <w:marRight w:val="0"/>
                              <w:marTop w:val="0"/>
                              <w:marBottom w:val="0"/>
                              <w:divBdr>
                                <w:top w:val="none" w:sz="0" w:space="0" w:color="auto"/>
                                <w:left w:val="none" w:sz="0" w:space="0" w:color="auto"/>
                                <w:bottom w:val="none" w:sz="0" w:space="0" w:color="auto"/>
                                <w:right w:val="none" w:sz="0" w:space="0" w:color="auto"/>
                              </w:divBdr>
                            </w:div>
                            <w:div w:id="1759908533">
                              <w:marLeft w:val="0"/>
                              <w:marRight w:val="0"/>
                              <w:marTop w:val="0"/>
                              <w:marBottom w:val="0"/>
                              <w:divBdr>
                                <w:top w:val="none" w:sz="0" w:space="0" w:color="auto"/>
                                <w:left w:val="none" w:sz="0" w:space="0" w:color="auto"/>
                                <w:bottom w:val="none" w:sz="0" w:space="0" w:color="auto"/>
                                <w:right w:val="none" w:sz="0" w:space="0" w:color="auto"/>
                              </w:divBdr>
                            </w:div>
                            <w:div w:id="87808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2023-07-23T00:35:00Z</dcterms:created>
  <dcterms:modified xsi:type="dcterms:W3CDTF">2023-07-23T00:35:00Z</dcterms:modified>
</cp:coreProperties>
</file>