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200" w:before="0"/>
        <w:jc w:val="center"/>
      </w:pPr>
      <w:r>
        <w:rPr>
          <w:rFonts w:ascii="Arial" w:cs="Arial" w:eastAsia="Arial" w:hAnsi="Arial"/>
          <w:b/>
          <w:bCs/>
          <w:color w:val="1F3864"/>
          <w:sz w:val="52"/>
          <w:szCs w:val="52"/>
        </w:rPr>
        <w:t xml:space="preserve">ENTERPRISE ONBOARDING ASSESSMENT</w:t>
      </w:r>
    </w:p>
    <w:p>
      <w:pPr>
        <w:pBdr>
          <w:bottom w:val="single" w:color="2E75B6" w:sz="12" w:space="4"/>
        </w:pBdr>
        <w:spacing w:after="400" w:before="0"/>
        <w:jc w:val="center"/>
      </w:pPr>
      <w:r>
        <w:rPr>
          <w:rFonts w:ascii="Arial" w:cs="Arial" w:eastAsia="Arial" w:hAnsi="Arial"/>
          <w:b/>
          <w:bCs/>
          <w:color w:val="2E75B6"/>
          <w:sz w:val="44"/>
          <w:szCs w:val="44"/>
        </w:rPr>
        <w:t xml:space="preserve">iManage Work Cloud</w:t>
      </w:r>
    </w:p>
    <w:p>
      <w:pPr>
        <w:spacing w:after="160" w:before="400"/>
        <w:jc w:val="center"/>
      </w:pPr>
      <w:r>
        <w:rPr>
          <w:rFonts w:ascii="Arial" w:cs="Arial" w:eastAsia="Arial" w:hAnsi="Arial"/>
          <w:i/>
          <w:iCs/>
          <w:color w:val="555555"/>
          <w:sz w:val="24"/>
          <w:szCs w:val="24"/>
        </w:rPr>
        <w:t xml:space="preserve">Microsoft 365 E5 | Microsoft Entra ID | Financial Services</w:t>
      </w:r>
    </w:p>
    <w:p>
      <w:pPr>
        <w:spacing w:after="80" w:before="160"/>
        <w:jc w:val="center"/>
      </w:pPr>
      <w:r>
        <w:rPr>
          <w:rFonts w:ascii="Arial" w:cs="Arial" w:eastAsia="Arial" w:hAnsi="Arial"/>
          <w:b/>
          <w:bCs/>
          <w:color w:val="C0392B"/>
          <w:sz w:val="20"/>
          <w:szCs w:val="20"/>
        </w:rPr>
        <w:t xml:space="preserve">Document Classification: CONFIDENTIAL – INTERNAL USE ONLY</w:t>
      </w:r>
    </w:p>
    <w:p>
      <w:pPr>
        <w:spacing w:after="80" w:before="80"/>
        <w:jc w:val="center"/>
      </w:pPr>
      <w:r>
        <w:rPr>
          <w:rFonts w:ascii="Arial" w:cs="Arial" w:eastAsia="Arial" w:hAnsi="Arial"/>
          <w:color w:val="555555"/>
          <w:sz w:val="20"/>
          <w:szCs w:val="20"/>
        </w:rPr>
        <w:t xml:space="preserve">Version: 1.0 DRAFT  |  Date: June 15, 2026</w:t>
      </w:r>
    </w:p>
    <w:p>
      <w:pPr>
        <w:spacing w:after="1440" w:before="80"/>
        <w:jc w:val="center"/>
      </w:pPr>
      <w:r>
        <w:rPr>
          <w:rFonts w:ascii="Arial" w:cs="Arial" w:eastAsia="Arial" w:hAnsi="Arial"/>
          <w:color w:val="555555"/>
          <w:sz w:val="20"/>
          <w:szCs w:val="20"/>
        </w:rPr>
        <w:t xml:space="preserve">Prepared by: Enterprise Architecture | IAM Engineering | Cloud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702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Organization</w:t>
            </w:r>
          </w:p>
        </w:tc>
        <w:tc>
          <w:tcPr>
            <w:tcW w:type="dxa" w:w="70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[Financial Institution Name]</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Environment</w:t>
            </w:r>
          </w:p>
        </w:tc>
        <w:tc>
          <w:tcPr>
            <w:tcW w:type="dxa" w:w="70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365 E5 | Microsoft Entra ID (formerly Azure AD)</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Deployment</w:t>
            </w:r>
          </w:p>
        </w:tc>
        <w:tc>
          <w:tcPr>
            <w:tcW w:type="dxa" w:w="70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Dev → Test → Production (SaaS)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Authentication</w:t>
            </w:r>
          </w:p>
        </w:tc>
        <w:tc>
          <w:tcPr>
            <w:tcW w:type="dxa" w:w="70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SAML 2.0 via Microsoft Entra ID</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Compliance Scope</w:t>
            </w:r>
          </w:p>
        </w:tc>
        <w:tc>
          <w:tcPr>
            <w:tcW w:type="dxa" w:w="70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Financial Services Regulations | DLP | Data Residency | Conditional Access | Auditability</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Document Owner</w:t>
            </w:r>
          </w:p>
        </w:tc>
        <w:tc>
          <w:tcPr>
            <w:tcW w:type="dxa" w:w="70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Enterprise Architecture Team</w:t>
            </w:r>
          </w:p>
        </w:tc>
      </w:tr>
    </w:tbl>
    <w:p>
      <w:r>
        <w:br w:type="page"/>
      </w:r>
    </w:p>
    <w:p>
      <w:pPr>
        <w:pStyle w:val="Heading1"/>
        <w:spacing w:after="120" w:before="360"/>
      </w:pPr>
      <w:r>
        <w:rPr>
          <w:rFonts w:ascii="Arial" w:cs="Arial" w:eastAsia="Arial" w:hAnsi="Arial"/>
          <w:b/>
          <w:bCs/>
          <w:color w:val="1F3864"/>
          <w:sz w:val="36"/>
          <w:szCs w:val="36"/>
        </w:rPr>
        <w:t xml:space="preserve">1. Executive Summary</w:t>
      </w:r>
    </w:p>
    <w:p>
      <w:pPr>
        <w:pBdr>
          <w:bottom w:val="single" w:color="2E75B6" w:sz="8" w:space="1"/>
        </w:pBdr>
        <w:spacing w:after="120" w:before="120"/>
      </w:pPr>
    </w:p>
    <w:p>
      <w:pPr>
        <w:pStyle w:val="Heading2"/>
        <w:spacing w:after="80" w:before="240"/>
      </w:pPr>
      <w:r>
        <w:rPr>
          <w:rFonts w:ascii="Arial" w:cs="Arial" w:eastAsia="Arial" w:hAnsi="Arial"/>
          <w:b/>
          <w:bCs/>
          <w:color w:val="2E75B6"/>
          <w:sz w:val="28"/>
          <w:szCs w:val="28"/>
        </w:rPr>
        <w:t xml:space="preserve">1.1 Overview of iManage Work Cloud</w:t>
      </w:r>
    </w:p>
    <w:p>
      <w:pPr>
        <w:spacing w:after="60" w:before="60"/>
      </w:pPr>
      <w:r>
        <w:rPr>
          <w:rFonts w:ascii="Arial" w:cs="Arial" w:eastAsia="Arial" w:hAnsi="Arial"/>
          <w:sz w:val="20"/>
          <w:szCs w:val="20"/>
        </w:rPr>
        <w:t xml:space="preserve">iManage Work Cloud is an enterprise-grade, AI-powered document and email management platform purpose-built for professional services firms operating in regulated industries. Originally developed by Interwoven and subsequently evolved through HP Autonomy ownership before independence, iManage has become the dominant document management system (DMS) in legal and financial services sectors globally.</w:t>
      </w:r>
    </w:p>
    <w:p>
      <w:pPr>
        <w:spacing w:after="60" w:before="60"/>
      </w:pPr>
      <w:r>
        <w:rPr>
          <w:rFonts w:ascii="Arial" w:cs="Arial" w:eastAsia="Arial" w:hAnsi="Arial"/>
          <w:sz w:val="20"/>
          <w:szCs w:val="20"/>
        </w:rPr>
        <w:t xml:space="preserve">iManage Work Cloud delivers a cloud-native SaaS deployment model hosted on Microsoft Azure infrastructure, providing organizations with document lifecycle management, matter-centric organization, full-text search, version control, access security, and deep integration with productivity applications. As of 2024, iManage serves over 4,000 organizations across 65 countries, managing in excess of 11 billion documents.</w:t>
      </w:r>
    </w:p>
    <w:p>
      <w:pPr>
        <w:pStyle w:val="Heading2"/>
        <w:spacing w:after="80" w:before="240"/>
      </w:pPr>
      <w:r>
        <w:rPr>
          <w:rFonts w:ascii="Arial" w:cs="Arial" w:eastAsia="Arial" w:hAnsi="Arial"/>
          <w:b/>
          <w:bCs/>
          <w:color w:val="2E75B6"/>
          <w:sz w:val="28"/>
          <w:szCs w:val="28"/>
        </w:rPr>
        <w:t xml:space="preserve">1.2 Primary Business Capabilities</w:t>
      </w:r>
    </w:p>
    <w:p>
      <w:pPr>
        <w:spacing w:after="60" w:before="60"/>
      </w:pPr>
      <w:r>
        <w:rPr>
          <w:rFonts w:ascii="Arial" w:cs="Arial" w:eastAsia="Arial" w:hAnsi="Arial"/>
          <w:sz w:val="20"/>
          <w:szCs w:val="20"/>
        </w:rPr>
        <w:t xml:space="preserve">iManage Work Cloud provides the following core capabilities relevant to a financial institution deployment:</w:t>
      </w:r>
    </w:p>
    <w:p>
      <w:pPr>
        <w:pStyle w:val="ListParagraph"/>
        <w:numPr>
          <w:ilvl w:val="0"/>
          <w:numId w:val="2"/>
        </w:numPr>
        <w:spacing w:after="40" w:before="40"/>
      </w:pPr>
      <w:r>
        <w:rPr>
          <w:rFonts w:ascii="Arial" w:cs="Arial" w:eastAsia="Arial" w:hAnsi="Arial"/>
          <w:sz w:val="20"/>
          <w:szCs w:val="20"/>
        </w:rPr>
        <w:t xml:space="preserve">Matter and workspace-centric document organization aligned to client engagements, transactions, or regulatory files</w:t>
      </w:r>
    </w:p>
    <w:p>
      <w:pPr>
        <w:pStyle w:val="ListParagraph"/>
        <w:numPr>
          <w:ilvl w:val="0"/>
          <w:numId w:val="2"/>
        </w:numPr>
        <w:spacing w:after="40" w:before="40"/>
      </w:pPr>
      <w:r>
        <w:rPr>
          <w:rFonts w:ascii="Arial" w:cs="Arial" w:eastAsia="Arial" w:hAnsi="Arial"/>
          <w:sz w:val="20"/>
          <w:szCs w:val="20"/>
        </w:rPr>
        <w:t xml:space="preserve">Email filing and management enabling users to file emails directly from Microsoft Outlook into structured workspaces</w:t>
      </w:r>
    </w:p>
    <w:p>
      <w:pPr>
        <w:pStyle w:val="ListParagraph"/>
        <w:numPr>
          <w:ilvl w:val="0"/>
          <w:numId w:val="2"/>
        </w:numPr>
        <w:spacing w:after="40" w:before="40"/>
      </w:pPr>
      <w:r>
        <w:rPr>
          <w:rFonts w:ascii="Arial" w:cs="Arial" w:eastAsia="Arial" w:hAnsi="Arial"/>
          <w:sz w:val="20"/>
          <w:szCs w:val="20"/>
        </w:rPr>
        <w:t xml:space="preserve">Version control with full audit history, check-in/check-out locking, and document comparison</w:t>
      </w:r>
    </w:p>
    <w:p>
      <w:pPr>
        <w:pStyle w:val="ListParagraph"/>
        <w:numPr>
          <w:ilvl w:val="0"/>
          <w:numId w:val="2"/>
        </w:numPr>
        <w:spacing w:after="40" w:before="40"/>
      </w:pPr>
      <w:r>
        <w:rPr>
          <w:rFonts w:ascii="Arial" w:cs="Arial" w:eastAsia="Arial" w:hAnsi="Arial"/>
          <w:sz w:val="20"/>
          <w:szCs w:val="20"/>
        </w:rPr>
        <w:t xml:space="preserve">Role-based security enforced at the document, folder, workspace, and matter level</w:t>
      </w:r>
    </w:p>
    <w:p>
      <w:pPr>
        <w:pStyle w:val="ListParagraph"/>
        <w:numPr>
          <w:ilvl w:val="0"/>
          <w:numId w:val="2"/>
        </w:numPr>
        <w:spacing w:after="40" w:before="40"/>
      </w:pPr>
      <w:r>
        <w:rPr>
          <w:rFonts w:ascii="Arial" w:cs="Arial" w:eastAsia="Arial" w:hAnsi="Arial"/>
          <w:sz w:val="20"/>
          <w:szCs w:val="20"/>
        </w:rPr>
        <w:t xml:space="preserve">Full-text search across all stored content including email attachments and document metadata</w:t>
      </w:r>
    </w:p>
    <w:p>
      <w:pPr>
        <w:pStyle w:val="ListParagraph"/>
        <w:numPr>
          <w:ilvl w:val="0"/>
          <w:numId w:val="2"/>
        </w:numPr>
        <w:spacing w:after="40" w:before="40"/>
      </w:pPr>
      <w:r>
        <w:rPr>
          <w:rFonts w:ascii="Arial" w:cs="Arial" w:eastAsia="Arial" w:hAnsi="Arial"/>
          <w:sz w:val="20"/>
          <w:szCs w:val="20"/>
        </w:rPr>
        <w:t xml:space="preserve">Microsoft 365 deep integration including Outlook, Teams, SharePoint Online, OneDrive, and Microsoft Graph</w:t>
      </w:r>
    </w:p>
    <w:p>
      <w:pPr>
        <w:pStyle w:val="ListParagraph"/>
        <w:numPr>
          <w:ilvl w:val="0"/>
          <w:numId w:val="2"/>
        </w:numPr>
        <w:spacing w:after="40" w:before="40"/>
      </w:pPr>
      <w:r>
        <w:rPr>
          <w:rFonts w:ascii="Arial" w:cs="Arial" w:eastAsia="Arial" w:hAnsi="Arial"/>
          <w:sz w:val="20"/>
          <w:szCs w:val="20"/>
        </w:rPr>
        <w:t xml:space="preserve">Need-to-Know (NTK) security model enabling ethical wall enforcement critical for financial services compliance</w:t>
      </w:r>
    </w:p>
    <w:p>
      <w:pPr>
        <w:pStyle w:val="ListParagraph"/>
        <w:numPr>
          <w:ilvl w:val="0"/>
          <w:numId w:val="2"/>
        </w:numPr>
        <w:spacing w:after="40" w:before="40"/>
      </w:pPr>
      <w:r>
        <w:rPr>
          <w:rFonts w:ascii="Arial" w:cs="Arial" w:eastAsia="Arial" w:hAnsi="Arial"/>
          <w:sz w:val="20"/>
          <w:szCs w:val="20"/>
        </w:rPr>
        <w:t xml:space="preserve">Mobile access via native iOS and Android applications</w:t>
      </w:r>
    </w:p>
    <w:p>
      <w:pPr>
        <w:pStyle w:val="ListParagraph"/>
        <w:numPr>
          <w:ilvl w:val="0"/>
          <w:numId w:val="2"/>
        </w:numPr>
        <w:spacing w:after="40" w:before="40"/>
      </w:pPr>
      <w:r>
        <w:rPr>
          <w:rFonts w:ascii="Arial" w:cs="Arial" w:eastAsia="Arial" w:hAnsi="Arial"/>
          <w:sz w:val="20"/>
          <w:szCs w:val="20"/>
        </w:rPr>
        <w:t xml:space="preserve">AI-powered document classification, search ranking, and metadata suggestion (iManage AI)</w:t>
      </w:r>
    </w:p>
    <w:p>
      <w:pPr>
        <w:pStyle w:val="ListParagraph"/>
        <w:numPr>
          <w:ilvl w:val="0"/>
          <w:numId w:val="2"/>
        </w:numPr>
        <w:spacing w:after="40" w:before="40"/>
      </w:pPr>
      <w:r>
        <w:rPr>
          <w:rFonts w:ascii="Arial" w:cs="Arial" w:eastAsia="Arial" w:hAnsi="Arial"/>
          <w:sz w:val="20"/>
          <w:szCs w:val="20"/>
        </w:rPr>
        <w:t xml:space="preserve">Audit logging for compliance, e-discovery, and regulatory reporting</w:t>
      </w:r>
    </w:p>
    <w:p>
      <w:pPr>
        <w:pStyle w:val="ListParagraph"/>
        <w:numPr>
          <w:ilvl w:val="0"/>
          <w:numId w:val="2"/>
        </w:numPr>
        <w:spacing w:after="40" w:before="40"/>
      </w:pPr>
      <w:r>
        <w:rPr>
          <w:rFonts w:ascii="Arial" w:cs="Arial" w:eastAsia="Arial" w:hAnsi="Arial"/>
          <w:sz w:val="20"/>
          <w:szCs w:val="20"/>
        </w:rPr>
        <w:t xml:space="preserve">iManage Control Center for centralized administration, provisioning, and policy management</w:t>
      </w:r>
    </w:p>
    <w:p>
      <w:pPr>
        <w:pStyle w:val="Heading2"/>
        <w:spacing w:after="80" w:before="240"/>
      </w:pPr>
      <w:r>
        <w:rPr>
          <w:rFonts w:ascii="Arial" w:cs="Arial" w:eastAsia="Arial" w:hAnsi="Arial"/>
          <w:b/>
          <w:bCs/>
          <w:color w:val="2E75B6"/>
          <w:sz w:val="28"/>
          <w:szCs w:val="28"/>
        </w:rPr>
        <w:t xml:space="preserve">1.3 Microsoft Ecosystem Integrations</w:t>
      </w:r>
    </w:p>
    <w:p>
      <w:pPr>
        <w:spacing w:after="60" w:before="60"/>
      </w:pPr>
      <w:r>
        <w:rPr>
          <w:rFonts w:ascii="Arial" w:cs="Arial" w:eastAsia="Arial" w:hAnsi="Arial"/>
          <w:sz w:val="20"/>
          <w:szCs w:val="20"/>
        </w:rPr>
        <w:t xml:space="preserve">iManage Work Cloud integrates natively with the Microsoft 365 ecosystem through the following surface areas:</w:t>
      </w:r>
    </w:p>
    <w:p>
      <w:pPr>
        <w:pStyle w:val="ListParagraph"/>
        <w:numPr>
          <w:ilvl w:val="0"/>
          <w:numId w:val="2"/>
        </w:numPr>
        <w:spacing w:after="40" w:before="40"/>
      </w:pPr>
      <w:r>
        <w:rPr>
          <w:rFonts w:ascii="Arial" w:cs="Arial" w:eastAsia="Arial" w:hAnsi="Arial"/>
          <w:sz w:val="20"/>
          <w:szCs w:val="20"/>
        </w:rPr>
        <w:t xml:space="preserve">Microsoft Entra ID (Azure Active Directory) for identity federation, SSO via SAML 2.0, and user provisioning</w:t>
      </w:r>
    </w:p>
    <w:p>
      <w:pPr>
        <w:pStyle w:val="ListParagraph"/>
        <w:numPr>
          <w:ilvl w:val="0"/>
          <w:numId w:val="2"/>
        </w:numPr>
        <w:spacing w:after="40" w:before="40"/>
      </w:pPr>
      <w:r>
        <w:rPr>
          <w:rFonts w:ascii="Arial" w:cs="Arial" w:eastAsia="Arial" w:hAnsi="Arial"/>
          <w:sz w:val="20"/>
          <w:szCs w:val="20"/>
        </w:rPr>
        <w:t xml:space="preserve">Microsoft Graph API for programmatic access to Exchange Online, SharePoint Online, Teams, OneDrive, and directory services</w:t>
      </w:r>
    </w:p>
    <w:p>
      <w:pPr>
        <w:pStyle w:val="ListParagraph"/>
        <w:numPr>
          <w:ilvl w:val="0"/>
          <w:numId w:val="2"/>
        </w:numPr>
        <w:spacing w:after="40" w:before="40"/>
      </w:pPr>
      <w:r>
        <w:rPr>
          <w:rFonts w:ascii="Arial" w:cs="Arial" w:eastAsia="Arial" w:hAnsi="Arial"/>
          <w:sz w:val="20"/>
          <w:szCs w:val="20"/>
        </w:rPr>
        <w:t xml:space="preserve">Microsoft Outlook (desktop, web, mobile) via iManage Work for Outlook add-in</w:t>
      </w:r>
    </w:p>
    <w:p>
      <w:pPr>
        <w:pStyle w:val="ListParagraph"/>
        <w:numPr>
          <w:ilvl w:val="0"/>
          <w:numId w:val="2"/>
        </w:numPr>
        <w:spacing w:after="40" w:before="40"/>
      </w:pPr>
      <w:r>
        <w:rPr>
          <w:rFonts w:ascii="Arial" w:cs="Arial" w:eastAsia="Arial" w:hAnsi="Arial"/>
          <w:sz w:val="20"/>
          <w:szCs w:val="20"/>
        </w:rPr>
        <w:t xml:space="preserve">Microsoft Teams via iManage for Teams application enabling conversation and meeting filing</w:t>
      </w:r>
    </w:p>
    <w:p>
      <w:pPr>
        <w:pStyle w:val="ListParagraph"/>
        <w:numPr>
          <w:ilvl w:val="0"/>
          <w:numId w:val="2"/>
        </w:numPr>
        <w:spacing w:after="40" w:before="40"/>
      </w:pPr>
      <w:r>
        <w:rPr>
          <w:rFonts w:ascii="Arial" w:cs="Arial" w:eastAsia="Arial" w:hAnsi="Arial"/>
          <w:sz w:val="20"/>
          <w:szCs w:val="20"/>
        </w:rPr>
        <w:t xml:space="preserve">SharePoint Online and OneDrive for document synchronization and co-authoring scenarios</w:t>
      </w:r>
    </w:p>
    <w:p>
      <w:pPr>
        <w:pStyle w:val="ListParagraph"/>
        <w:numPr>
          <w:ilvl w:val="0"/>
          <w:numId w:val="2"/>
        </w:numPr>
        <w:spacing w:after="40" w:before="40"/>
      </w:pPr>
      <w:r>
        <w:rPr>
          <w:rFonts w:ascii="Arial" w:cs="Arial" w:eastAsia="Arial" w:hAnsi="Arial"/>
          <w:sz w:val="20"/>
          <w:szCs w:val="20"/>
        </w:rPr>
        <w:t xml:space="preserve">Microsoft Intune for mobile application management (MAM) policy enforcement</w:t>
      </w:r>
    </w:p>
    <w:p>
      <w:pPr>
        <w:pStyle w:val="ListParagraph"/>
        <w:numPr>
          <w:ilvl w:val="0"/>
          <w:numId w:val="2"/>
        </w:numPr>
        <w:spacing w:after="40" w:before="40"/>
      </w:pPr>
      <w:r>
        <w:rPr>
          <w:rFonts w:ascii="Arial" w:cs="Arial" w:eastAsia="Arial" w:hAnsi="Arial"/>
          <w:sz w:val="20"/>
          <w:szCs w:val="20"/>
        </w:rPr>
        <w:t xml:space="preserve">Microsoft Purview (formerly Microsoft Information Protection) for sensitivity labeling and DLP policy integration</w:t>
      </w:r>
    </w:p>
    <w:p>
      <w:pPr>
        <w:pStyle w:val="ListParagraph"/>
        <w:numPr>
          <w:ilvl w:val="0"/>
          <w:numId w:val="2"/>
        </w:numPr>
        <w:spacing w:after="40" w:before="40"/>
      </w:pPr>
      <w:r>
        <w:rPr>
          <w:rFonts w:ascii="Arial" w:cs="Arial" w:eastAsia="Arial" w:hAnsi="Arial"/>
          <w:sz w:val="20"/>
          <w:szCs w:val="20"/>
        </w:rPr>
        <w:t xml:space="preserve">Microsoft Defender for Cloud Apps (MDCA) as a sanctioned application for shadow IT governance</w:t>
      </w:r>
    </w:p>
    <w:p>
      <w:pPr>
        <w:pStyle w:val="ListParagraph"/>
        <w:numPr>
          <w:ilvl w:val="0"/>
          <w:numId w:val="2"/>
        </w:numPr>
        <w:spacing w:after="40" w:before="40"/>
      </w:pPr>
      <w:r>
        <w:rPr>
          <w:rFonts w:ascii="Arial" w:cs="Arial" w:eastAsia="Arial" w:hAnsi="Arial"/>
          <w:sz w:val="20"/>
          <w:szCs w:val="20"/>
        </w:rPr>
        <w:t xml:space="preserve">Microsoft Search via Graph connector for unified enterprise search results</w:t>
      </w:r>
    </w:p>
    <w:p>
      <w:pPr>
        <w:pStyle w:val="Heading2"/>
        <w:spacing w:after="80" w:before="240"/>
      </w:pPr>
      <w:r>
        <w:rPr>
          <w:rFonts w:ascii="Arial" w:cs="Arial" w:eastAsia="Arial" w:hAnsi="Arial"/>
          <w:b/>
          <w:bCs/>
          <w:color w:val="2E75B6"/>
          <w:sz w:val="28"/>
          <w:szCs w:val="28"/>
        </w:rPr>
        <w:t xml:space="preserve">1.4 High-Level Onboarding Architecture</w:t>
      </w:r>
    </w:p>
    <w:p>
      <w:pPr>
        <w:spacing w:after="60" w:before="60"/>
      </w:pPr>
      <w:r>
        <w:rPr>
          <w:rFonts w:ascii="Arial" w:cs="Arial" w:eastAsia="Arial" w:hAnsi="Arial"/>
          <w:sz w:val="20"/>
          <w:szCs w:val="20"/>
        </w:rPr>
        <w:t xml:space="preserve">The target architecture establishes iManage Work Cloud as a SaaS application federated to Microsoft Entra ID as the authoritative Identity Provider. Authentication follows the SAML 2.0 SP-Initiated flow with Entra ID serving as the Identity Provider and iManage Cloud serving as the Service Provider. Authorization is enforced through iManage Control Center using groups synchronized from Entra ID. Microsoft Graph API delegated and application permissions authorize iManage to interact with M365 services on behalf of users and the organization.</w:t>
      </w:r>
    </w:p>
    <w:p>
      <w:pPr>
        <w:spacing w:after="60" w:before="60"/>
      </w:pPr>
      <w:r>
        <w:rPr>
          <w:rFonts w:ascii="Arial" w:cs="Arial" w:eastAsia="Arial" w:hAnsi="Arial"/>
          <w:sz w:val="20"/>
          <w:szCs w:val="20"/>
        </w:rPr>
        <w:t xml:space="preserve">The deployment follows a three-environment promotion pipeline: Development → Test → Production. Each environment will be registered as a separate Enterprise Application in Entra ID with distinct SAML configurations, redirect URIs, and permission grants. This isolation ensures that changes to identity configuration, permission scopes, or integration settings are validated before promotion to Production.</w:t>
      </w:r>
    </w:p>
    <w:p>
      <w:pPr>
        <w:pStyle w:val="Heading2"/>
        <w:spacing w:after="80" w:before="240"/>
      </w:pPr>
      <w:r>
        <w:rPr>
          <w:rFonts w:ascii="Arial" w:cs="Arial" w:eastAsia="Arial" w:hAnsi="Arial"/>
          <w:b/>
          <w:bCs/>
          <w:color w:val="2E75B6"/>
          <w:sz w:val="28"/>
          <w:szCs w:val="28"/>
        </w:rPr>
        <w:t xml:space="preserve">1.5 Key Onboarding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C4" w:val="clear"/>
            <w:tcMar>
              <w:top w:type="dxa" w:w="80"/>
              <w:left w:type="dxa" w:w="120"/>
              <w:bottom w:type="dxa" w:w="80"/>
              <w:right w:type="dxa" w:w="120"/>
            </w:tcMar>
          </w:tcPr>
          <w:p>
            <w:r>
              <w:rPr>
                <w:rFonts w:ascii="Arial" w:cs="Arial" w:eastAsia="Arial" w:hAnsi="Arial"/>
                <w:b/>
                <w:bCs/>
                <w:color w:val="1F3864"/>
                <w:sz w:val="18"/>
                <w:szCs w:val="18"/>
              </w:rPr>
              <w:t xml:space="preserve">⚑ VENDOR: </w:t>
            </w:r>
            <w:r>
              <w:rPr>
                <w:rFonts w:ascii="Arial" w:cs="Arial" w:eastAsia="Arial" w:hAnsi="Arial"/>
                <w:sz w:val="18"/>
                <w:szCs w:val="18"/>
              </w:rPr>
              <w:t xml:space="preserve">This assessment identifies risks based on publicly available documentation. Several items require formal vendor confirmation before risk ratings can be finalized.</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Likelihood</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312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Over-privileged Microsoft Graph application permissions granted at tenant level</w:t>
            </w:r>
          </w:p>
        </w:tc>
        <w:tc>
          <w:tcPr>
            <w:tcW w:type="dxa" w:w="156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Scope permission grants to minimum required; review with Microsoft CAT team</w:t>
            </w:r>
          </w:p>
        </w:tc>
      </w:tr>
      <w:tr>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SCIM provisioning support status unconfirmed; JIT provisioning may require manual fallback</w:t>
            </w:r>
          </w:p>
        </w:tc>
        <w:tc>
          <w:tcPr>
            <w:tcW w:type="dxa" w:w="156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156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Confirm SCIM 2.0 support with iManage; design JIT provisioning as fallback</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Data residency for Canadian financial institutions may require explicit region selection</w:t>
            </w:r>
          </w:p>
        </w:tc>
        <w:tc>
          <w:tcPr>
            <w:tcW w:type="dxa" w:w="156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Confirm Azure region mapping and data sovereignty commitments from iManage</w:t>
            </w:r>
          </w:p>
        </w:tc>
      </w:tr>
      <w:tr>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Customer-Managed Key (CMK) support availability and additional cost unknown</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1E8449"/>
                <w:sz w:val="17"/>
                <w:szCs w:val="17"/>
              </w:rPr>
              <w:t xml:space="preserve">Low</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Request iManage attestation on CMK support via BYOK or Azure Key Vault integration</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Mobile application MAM policy compatibility with Intune App Protection Policies unconfirmed</w:t>
            </w:r>
          </w:p>
        </w:tc>
        <w:tc>
          <w:tcPr>
            <w:tcW w:type="dxa" w:w="156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156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Test MAM enrollment in Dev environment; validate Intune SDK integration</w:t>
            </w:r>
          </w:p>
        </w:tc>
      </w:tr>
      <w:tr>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Teams and SharePoint integration permissions may require broader scopes than anticipated</w:t>
            </w:r>
          </w:p>
        </w:tc>
        <w:tc>
          <w:tcPr>
            <w:tcW w:type="dxa" w:w="156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Conduct permission audit with iManage before production grant</w:t>
            </w:r>
          </w:p>
        </w:tc>
      </w:tr>
      <w:tr>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Break-glass account management for iManage admin access not addressed in standard onboarding</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1E8449"/>
                <w:sz w:val="17"/>
                <w:szCs w:val="17"/>
              </w:rPr>
              <w:t xml:space="preserve">Low</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Define break-glass procedures in IAM runbook before go-live</w:t>
            </w:r>
          </w:p>
        </w:tc>
      </w:tr>
      <w:tr>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Conditional Access policy conflicts with iManage authentication flows</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1E8449"/>
                <w:sz w:val="17"/>
                <w:szCs w:val="17"/>
              </w:rPr>
              <w:t xml:space="preserve">Low</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Test all CA policies in Dev/Test before production rollout</w:t>
            </w:r>
          </w:p>
        </w:tc>
      </w:tr>
    </w:tbl>
    <w:p>
      <w:r>
        <w:br w:type="page"/>
      </w:r>
    </w:p>
    <w:p>
      <w:pPr>
        <w:pStyle w:val="Heading1"/>
        <w:spacing w:after="120" w:before="360"/>
      </w:pPr>
      <w:r>
        <w:rPr>
          <w:rFonts w:ascii="Arial" w:cs="Arial" w:eastAsia="Arial" w:hAnsi="Arial"/>
          <w:b/>
          <w:bCs/>
          <w:color w:val="1F3864"/>
          <w:sz w:val="36"/>
          <w:szCs w:val="36"/>
        </w:rPr>
        <w:t xml:space="preserve">2. Reference Architecture</w:t>
      </w:r>
    </w:p>
    <w:p>
      <w:pPr>
        <w:pBdr>
          <w:bottom w:val="single" w:color="2E75B6" w:sz="8" w:space="1"/>
        </w:pBdr>
        <w:spacing w:after="120" w:before="120"/>
      </w:pPr>
    </w:p>
    <w:p>
      <w:pPr>
        <w:pStyle w:val="Heading2"/>
        <w:spacing w:after="80" w:before="240"/>
      </w:pPr>
      <w:r>
        <w:rPr>
          <w:rFonts w:ascii="Arial" w:cs="Arial" w:eastAsia="Arial" w:hAnsi="Arial"/>
          <w:b/>
          <w:bCs/>
          <w:color w:val="2E75B6"/>
          <w:sz w:val="28"/>
          <w:szCs w:val="28"/>
        </w:rPr>
        <w:t xml:space="preserve">2.1 Logical Architecture Overview</w:t>
      </w:r>
    </w:p>
    <w:p>
      <w:pPr>
        <w:spacing w:after="60" w:before="60"/>
      </w:pPr>
      <w:r>
        <w:rPr>
          <w:rFonts w:ascii="Arial" w:cs="Arial" w:eastAsia="Arial" w:hAnsi="Arial"/>
          <w:sz w:val="20"/>
          <w:szCs w:val="20"/>
        </w:rPr>
        <w:t xml:space="preserve">The following describes the logical architecture components and their relationships within the iManage Work Cloud deployment in the Microsoft 365 environment. A visual architecture diagram is included in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351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351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in Architecture</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Identity</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Microsoft Entra ID</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Identity Provider (IdP) for SAML 2.0 SSO; source of truth for user identities, group memberships, and conditional access policies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Productivity</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Microsoft 365 E5 (Exchange Online, Teams, SharePoint, OneDrive)</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Core productivity services; integration surface for iManage document and email workflows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API Gateway</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Microsoft Graph API</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Unified API layer providing iManage programmatic access to M365 services including mail, files, calendar, teams, and directory</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Endpoint Management</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Microsoft Intune</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MDM/MAM platform enforcing device compliance and application protection policies on endpoints accessing iManage</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Browser</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Microsoft Edge</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Primary browser; iManage web client and add-ins optimized for Chromium-based Edge</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DMS Platform</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iManage Work Cloud</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SaaS document management system hosted on Microsoft Azure; primary application being onboarded</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Administration</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iManage Control Center</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Centralized SaaS administration console for user provisioning, workspace configuration, security policy, and audit management</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Microsoft Purview</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Data classification, sensitivity labeling, and DLP policy enforcement across M365 and integrated applications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CASB</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Microsoft Defender for Cloud Apps</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Cloud access security broker providing visibility, threat detection, and governance for iManage as a sanctioned SaaS app</w:t>
            </w:r>
          </w:p>
        </w:tc>
      </w:tr>
    </w:tbl>
    <w:p>
      <w:pPr>
        <w:pStyle w:val="Heading2"/>
        <w:spacing w:after="80" w:before="240"/>
      </w:pPr>
      <w:r>
        <w:rPr>
          <w:rFonts w:ascii="Arial" w:cs="Arial" w:eastAsia="Arial" w:hAnsi="Arial"/>
          <w:b/>
          <w:bCs/>
          <w:color w:val="2E75B6"/>
          <w:sz w:val="28"/>
          <w:szCs w:val="28"/>
        </w:rPr>
        <w:t xml:space="preserve">2.2 Authentication Flows</w:t>
      </w:r>
    </w:p>
    <w:p>
      <w:pPr>
        <w:pStyle w:val="Heading3"/>
        <w:spacing w:after="60" w:before="160"/>
      </w:pPr>
      <w:r>
        <w:rPr>
          <w:rFonts w:ascii="Arial" w:cs="Arial" w:eastAsia="Arial" w:hAnsi="Arial"/>
          <w:b/>
          <w:bCs/>
          <w:color w:val="1F3864"/>
          <w:sz w:val="24"/>
          <w:szCs w:val="24"/>
        </w:rPr>
        <w:t xml:space="preserve">2.2.1 SP-Initiated SAML 2.0 Flow (Primary)</w:t>
      </w:r>
    </w:p>
    <w:p>
      <w:pPr>
        <w:pStyle w:val="ListParagraph"/>
        <w:numPr>
          <w:ilvl w:val="0"/>
          <w:numId w:val="3"/>
        </w:numPr>
        <w:spacing w:after="40" w:before="40"/>
      </w:pPr>
      <w:r>
        <w:rPr>
          <w:rFonts w:ascii="Arial" w:cs="Arial" w:eastAsia="Arial" w:hAnsi="Arial"/>
          <w:sz w:val="20"/>
          <w:szCs w:val="20"/>
        </w:rPr>
        <w:t xml:space="preserve">User navigates to iManage Work Cloud URL (https://[tenant].imanage.work) or opens the iManage for Outlook add-in</w:t>
      </w:r>
    </w:p>
    <w:p>
      <w:pPr>
        <w:pStyle w:val="ListParagraph"/>
        <w:numPr>
          <w:ilvl w:val="0"/>
          <w:numId w:val="3"/>
        </w:numPr>
        <w:spacing w:after="40" w:before="40"/>
      </w:pPr>
      <w:r>
        <w:rPr>
          <w:rFonts w:ascii="Arial" w:cs="Arial" w:eastAsia="Arial" w:hAnsi="Arial"/>
          <w:sz w:val="20"/>
          <w:szCs w:val="20"/>
        </w:rPr>
        <w:t xml:space="preserve">iManage Work Cloud (Service Provider) detects unauthenticated session and generates SAML AuthnRequest</w:t>
      </w:r>
    </w:p>
    <w:p>
      <w:pPr>
        <w:pStyle w:val="ListParagraph"/>
        <w:numPr>
          <w:ilvl w:val="0"/>
          <w:numId w:val="3"/>
        </w:numPr>
        <w:spacing w:after="40" w:before="40"/>
      </w:pPr>
      <w:r>
        <w:rPr>
          <w:rFonts w:ascii="Arial" w:cs="Arial" w:eastAsia="Arial" w:hAnsi="Arial"/>
          <w:sz w:val="20"/>
          <w:szCs w:val="20"/>
        </w:rPr>
        <w:t xml:space="preserve">User browser is redirected to Microsoft Entra ID (Identity Provider) SAML endpoint with signed AuthnRequest</w:t>
      </w:r>
    </w:p>
    <w:p>
      <w:pPr>
        <w:pStyle w:val="ListParagraph"/>
        <w:numPr>
          <w:ilvl w:val="0"/>
          <w:numId w:val="3"/>
        </w:numPr>
        <w:spacing w:after="40" w:before="40"/>
      </w:pPr>
      <w:r>
        <w:rPr>
          <w:rFonts w:ascii="Arial" w:cs="Arial" w:eastAsia="Arial" w:hAnsi="Arial"/>
          <w:sz w:val="20"/>
          <w:szCs w:val="20"/>
        </w:rPr>
        <w:t xml:space="preserve">Entra ID evaluates Conditional Access policies (device compliance, location, MFA requirements)</w:t>
      </w:r>
    </w:p>
    <w:p>
      <w:pPr>
        <w:pStyle w:val="ListParagraph"/>
        <w:numPr>
          <w:ilvl w:val="0"/>
          <w:numId w:val="3"/>
        </w:numPr>
        <w:spacing w:after="40" w:before="40"/>
      </w:pPr>
      <w:r>
        <w:rPr>
          <w:rFonts w:ascii="Arial" w:cs="Arial" w:eastAsia="Arial" w:hAnsi="Arial"/>
          <w:sz w:val="20"/>
          <w:szCs w:val="20"/>
        </w:rPr>
        <w:t xml:space="preserve">User authenticates via Entra ID using configured authentication method (password + MFA via Microsoft Authenticator)</w:t>
      </w:r>
    </w:p>
    <w:p>
      <w:pPr>
        <w:pStyle w:val="ListParagraph"/>
        <w:numPr>
          <w:ilvl w:val="0"/>
          <w:numId w:val="3"/>
        </w:numPr>
        <w:spacing w:after="40" w:before="40"/>
      </w:pPr>
      <w:r>
        <w:rPr>
          <w:rFonts w:ascii="Arial" w:cs="Arial" w:eastAsia="Arial" w:hAnsi="Arial"/>
          <w:sz w:val="20"/>
          <w:szCs w:val="20"/>
        </w:rPr>
        <w:t xml:space="preserve">Entra ID generates SAML Response including configured claims (NameID, email, display name, group memberships)</w:t>
      </w:r>
    </w:p>
    <w:p>
      <w:pPr>
        <w:pStyle w:val="ListParagraph"/>
        <w:numPr>
          <w:ilvl w:val="0"/>
          <w:numId w:val="3"/>
        </w:numPr>
        <w:spacing w:after="40" w:before="40"/>
      </w:pPr>
      <w:r>
        <w:rPr>
          <w:rFonts w:ascii="Arial" w:cs="Arial" w:eastAsia="Arial" w:hAnsi="Arial"/>
          <w:sz w:val="20"/>
          <w:szCs w:val="20"/>
        </w:rPr>
        <w:t xml:space="preserve">SAML Response is posted to iManage Assertion Consumer Service (ACS) URL</w:t>
      </w:r>
    </w:p>
    <w:p>
      <w:pPr>
        <w:pStyle w:val="ListParagraph"/>
        <w:numPr>
          <w:ilvl w:val="0"/>
          <w:numId w:val="3"/>
        </w:numPr>
        <w:spacing w:after="40" w:before="40"/>
      </w:pPr>
      <w:r>
        <w:rPr>
          <w:rFonts w:ascii="Arial" w:cs="Arial" w:eastAsia="Arial" w:hAnsi="Arial"/>
          <w:sz w:val="20"/>
          <w:szCs w:val="20"/>
        </w:rPr>
        <w:t xml:space="preserve">iManage validates SAML Response signature against configured certificate; establishes user session</w:t>
      </w:r>
    </w:p>
    <w:p>
      <w:pPr>
        <w:pStyle w:val="ListParagraph"/>
        <w:numPr>
          <w:ilvl w:val="0"/>
          <w:numId w:val="3"/>
        </w:numPr>
        <w:spacing w:after="40" w:before="40"/>
      </w:pPr>
      <w:r>
        <w:rPr>
          <w:rFonts w:ascii="Arial" w:cs="Arial" w:eastAsia="Arial" w:hAnsi="Arial"/>
          <w:sz w:val="20"/>
          <w:szCs w:val="20"/>
        </w:rPr>
        <w:t xml:space="preserve">User is redirected to originally requested resource within iManage Work Cloud</w:t>
      </w:r>
    </w:p>
    <w:p>
      <w:pPr>
        <w:pStyle w:val="Heading3"/>
        <w:spacing w:after="60" w:before="160"/>
      </w:pPr>
      <w:r>
        <w:rPr>
          <w:rFonts w:ascii="Arial" w:cs="Arial" w:eastAsia="Arial" w:hAnsi="Arial"/>
          <w:b/>
          <w:bCs/>
          <w:color w:val="1F3864"/>
          <w:sz w:val="24"/>
          <w:szCs w:val="24"/>
        </w:rPr>
        <w:t xml:space="preserve">2.2.2 OAuth 2.0 / Microsoft Graph API Flow</w:t>
      </w:r>
    </w:p>
    <w:p>
      <w:pPr>
        <w:pStyle w:val="ListParagraph"/>
        <w:numPr>
          <w:ilvl w:val="0"/>
          <w:numId w:val="3"/>
        </w:numPr>
        <w:spacing w:after="40" w:before="40"/>
      </w:pPr>
      <w:r>
        <w:rPr>
          <w:rFonts w:ascii="Arial" w:cs="Arial" w:eastAsia="Arial" w:hAnsi="Arial"/>
          <w:sz w:val="20"/>
          <w:szCs w:val="20"/>
        </w:rPr>
        <w:t xml:space="preserve">iManage Work Cloud backend requests Microsoft Graph API access token using registered application credentials</w:t>
      </w:r>
    </w:p>
    <w:p>
      <w:pPr>
        <w:pStyle w:val="ListParagraph"/>
        <w:numPr>
          <w:ilvl w:val="0"/>
          <w:numId w:val="3"/>
        </w:numPr>
        <w:spacing w:after="40" w:before="40"/>
      </w:pPr>
      <w:r>
        <w:rPr>
          <w:rFonts w:ascii="Arial" w:cs="Arial" w:eastAsia="Arial" w:hAnsi="Arial"/>
          <w:sz w:val="20"/>
          <w:szCs w:val="20"/>
        </w:rPr>
        <w:t xml:space="preserve">For delegated permissions: token request uses user context established during SAML session</w:t>
      </w:r>
    </w:p>
    <w:p>
      <w:pPr>
        <w:pStyle w:val="ListParagraph"/>
        <w:numPr>
          <w:ilvl w:val="0"/>
          <w:numId w:val="3"/>
        </w:numPr>
        <w:spacing w:after="40" w:before="40"/>
      </w:pPr>
      <w:r>
        <w:rPr>
          <w:rFonts w:ascii="Arial" w:cs="Arial" w:eastAsia="Arial" w:hAnsi="Arial"/>
          <w:sz w:val="20"/>
          <w:szCs w:val="20"/>
        </w:rPr>
        <w:t xml:space="preserve">For application permissions: token request uses client credentials (service principal) with admin-consented scopes</w:t>
      </w:r>
    </w:p>
    <w:p>
      <w:pPr>
        <w:pStyle w:val="ListParagraph"/>
        <w:numPr>
          <w:ilvl w:val="0"/>
          <w:numId w:val="3"/>
        </w:numPr>
        <w:spacing w:after="40" w:before="40"/>
      </w:pPr>
      <w:r>
        <w:rPr>
          <w:rFonts w:ascii="Arial" w:cs="Arial" w:eastAsia="Arial" w:hAnsi="Arial"/>
          <w:sz w:val="20"/>
          <w:szCs w:val="20"/>
        </w:rPr>
        <w:t xml:space="preserve">Microsoft Entra ID issues access token with granted permission scopes</w:t>
      </w:r>
    </w:p>
    <w:p>
      <w:pPr>
        <w:pStyle w:val="ListParagraph"/>
        <w:numPr>
          <w:ilvl w:val="0"/>
          <w:numId w:val="3"/>
        </w:numPr>
        <w:spacing w:after="40" w:before="40"/>
      </w:pPr>
      <w:r>
        <w:rPr>
          <w:rFonts w:ascii="Arial" w:cs="Arial" w:eastAsia="Arial" w:hAnsi="Arial"/>
          <w:sz w:val="20"/>
          <w:szCs w:val="20"/>
        </w:rPr>
        <w:t xml:space="preserve">iManage uses token to call Microsoft Graph endpoints for mail, files, calendar, teams, and directory data</w:t>
      </w:r>
    </w:p>
    <w:p>
      <w:pPr>
        <w:pStyle w:val="ListParagraph"/>
        <w:numPr>
          <w:ilvl w:val="0"/>
          <w:numId w:val="3"/>
        </w:numPr>
        <w:spacing w:after="40" w:before="40"/>
      </w:pPr>
      <w:r>
        <w:rPr>
          <w:rFonts w:ascii="Arial" w:cs="Arial" w:eastAsia="Arial" w:hAnsi="Arial"/>
          <w:sz w:val="20"/>
          <w:szCs w:val="20"/>
        </w:rPr>
        <w:t xml:space="preserve">Tokens are refreshed using refresh tokens (offline_access scope) or client credentials as appropriate</w:t>
      </w:r>
    </w:p>
    <w:p>
      <w:pPr>
        <w:pStyle w:val="Heading2"/>
        <w:spacing w:after="80" w:before="240"/>
      </w:pPr>
      <w:r>
        <w:rPr>
          <w:rFonts w:ascii="Arial" w:cs="Arial" w:eastAsia="Arial" w:hAnsi="Arial"/>
          <w:b/>
          <w:bCs/>
          <w:color w:val="2E75B6"/>
          <w:sz w:val="28"/>
          <w:szCs w:val="28"/>
        </w:rPr>
        <w:t xml:space="preserve">2.3 Authorization Flows</w:t>
      </w:r>
    </w:p>
    <w:p>
      <w:pPr>
        <w:spacing w:after="60" w:before="60"/>
      </w:pPr>
      <w:r>
        <w:rPr>
          <w:rFonts w:ascii="Arial" w:cs="Arial" w:eastAsia="Arial" w:hAnsi="Arial"/>
          <w:sz w:val="20"/>
          <w:szCs w:val="20"/>
        </w:rPr>
        <w:t xml:space="preserve">iManage enforces authorization independently from Microsoft Entra ID after authentication. The authorization model operates as follows:</w:t>
      </w:r>
    </w:p>
    <w:p>
      <w:pPr>
        <w:pStyle w:val="ListParagraph"/>
        <w:numPr>
          <w:ilvl w:val="0"/>
          <w:numId w:val="2"/>
        </w:numPr>
        <w:spacing w:after="40" w:before="40"/>
      </w:pPr>
      <w:r>
        <w:rPr>
          <w:rFonts w:ascii="Arial" w:cs="Arial" w:eastAsia="Arial" w:hAnsi="Arial"/>
          <w:sz w:val="20"/>
          <w:szCs w:val="20"/>
        </w:rPr>
        <w:t xml:space="preserve">Group memberships from Entra ID (provided as claims or via SCIM) are mapped to iManage security groups in Control Center</w:t>
      </w:r>
    </w:p>
    <w:p>
      <w:pPr>
        <w:pStyle w:val="ListParagraph"/>
        <w:numPr>
          <w:ilvl w:val="0"/>
          <w:numId w:val="2"/>
        </w:numPr>
        <w:spacing w:after="40" w:before="40"/>
      </w:pPr>
      <w:r>
        <w:rPr>
          <w:rFonts w:ascii="Arial" w:cs="Arial" w:eastAsia="Arial" w:hAnsi="Arial"/>
          <w:sz w:val="20"/>
          <w:szCs w:val="20"/>
        </w:rPr>
        <w:t xml:space="preserve">iManage security groups are assigned to workspace ACLs controlling document-level access</w:t>
      </w:r>
    </w:p>
    <w:p>
      <w:pPr>
        <w:pStyle w:val="ListParagraph"/>
        <w:numPr>
          <w:ilvl w:val="0"/>
          <w:numId w:val="2"/>
        </w:numPr>
        <w:spacing w:after="40" w:before="40"/>
      </w:pPr>
      <w:r>
        <w:rPr>
          <w:rFonts w:ascii="Arial" w:cs="Arial" w:eastAsia="Arial" w:hAnsi="Arial"/>
          <w:sz w:val="20"/>
          <w:szCs w:val="20"/>
        </w:rPr>
        <w:t xml:space="preserve">Need-to-Know (NTK) security enforces ethical wall policies; users not in an NTK group cannot see the existence of protected workspaces</w:t>
      </w:r>
    </w:p>
    <w:p>
      <w:pPr>
        <w:pStyle w:val="ListParagraph"/>
        <w:numPr>
          <w:ilvl w:val="0"/>
          <w:numId w:val="2"/>
        </w:numPr>
        <w:spacing w:after="40" w:before="40"/>
      </w:pPr>
      <w:r>
        <w:rPr>
          <w:rFonts w:ascii="Arial" w:cs="Arial" w:eastAsia="Arial" w:hAnsi="Arial"/>
          <w:sz w:val="20"/>
          <w:szCs w:val="20"/>
        </w:rPr>
        <w:t xml:space="preserve">Document-level permissions support Owner, Editor, Viewer, and No Access roles</w:t>
      </w:r>
    </w:p>
    <w:p>
      <w:pPr>
        <w:pStyle w:val="ListParagraph"/>
        <w:numPr>
          <w:ilvl w:val="0"/>
          <w:numId w:val="2"/>
        </w:numPr>
        <w:spacing w:after="40" w:before="40"/>
      </w:pPr>
      <w:r>
        <w:rPr>
          <w:rFonts w:ascii="Arial" w:cs="Arial" w:eastAsia="Arial" w:hAnsi="Arial"/>
          <w:sz w:val="20"/>
          <w:szCs w:val="20"/>
        </w:rPr>
        <w:t xml:space="preserve">iManage enforces its own session management independent of the Entra ID session; configurable timeout policies apply</w:t>
      </w:r>
    </w:p>
    <w:p>
      <w:pPr>
        <w:pStyle w:val="Heading2"/>
        <w:spacing w:after="80" w:before="240"/>
      </w:pPr>
      <w:r>
        <w:rPr>
          <w:rFonts w:ascii="Arial" w:cs="Arial" w:eastAsia="Arial" w:hAnsi="Arial"/>
          <w:b/>
          <w:bCs/>
          <w:color w:val="2E75B6"/>
          <w:sz w:val="28"/>
          <w:szCs w:val="28"/>
        </w:rPr>
        <w:t xml:space="preserve">2.4 Data Synchronization Paths</w:t>
      </w:r>
    </w:p>
    <w:p>
      <w:pPr>
        <w:pStyle w:val="ListParagraph"/>
        <w:numPr>
          <w:ilvl w:val="0"/>
          <w:numId w:val="2"/>
        </w:numPr>
        <w:spacing w:after="40" w:before="40"/>
      </w:pPr>
      <w:r>
        <w:rPr>
          <w:rFonts w:ascii="Arial" w:cs="Arial" w:eastAsia="Arial" w:hAnsi="Arial"/>
          <w:sz w:val="20"/>
          <w:szCs w:val="20"/>
        </w:rPr>
        <w:t xml:space="preserve">User directory synchronization: Entra ID → iManage (via SCIM 2.0 or JIT provisioning; SCIM support requires vendor confirmation)</w:t>
      </w:r>
    </w:p>
    <w:p>
      <w:pPr>
        <w:pStyle w:val="ListParagraph"/>
        <w:numPr>
          <w:ilvl w:val="0"/>
          <w:numId w:val="2"/>
        </w:numPr>
        <w:spacing w:after="40" w:before="40"/>
      </w:pPr>
      <w:r>
        <w:rPr>
          <w:rFonts w:ascii="Arial" w:cs="Arial" w:eastAsia="Arial" w:hAnsi="Arial"/>
          <w:sz w:val="20"/>
          <w:szCs w:val="20"/>
        </w:rPr>
        <w:t xml:space="preserve">Email filing: Exchange Online mailbox → iManage via Outlook add-in using Mail.ReadWrite delegated permissions</w:t>
      </w:r>
    </w:p>
    <w:p>
      <w:pPr>
        <w:pStyle w:val="ListParagraph"/>
        <w:numPr>
          <w:ilvl w:val="0"/>
          <w:numId w:val="2"/>
        </w:numPr>
        <w:spacing w:after="40" w:before="40"/>
      </w:pPr>
      <w:r>
        <w:rPr>
          <w:rFonts w:ascii="Arial" w:cs="Arial" w:eastAsia="Arial" w:hAnsi="Arial"/>
          <w:sz w:val="20"/>
          <w:szCs w:val="20"/>
        </w:rPr>
        <w:t xml:space="preserve">Document co-authoring: iManage ↔ SharePoint Online / OneDrive via Microsoft Graph Files API</w:t>
      </w:r>
    </w:p>
    <w:p>
      <w:pPr>
        <w:pStyle w:val="ListParagraph"/>
        <w:numPr>
          <w:ilvl w:val="0"/>
          <w:numId w:val="2"/>
        </w:numPr>
        <w:spacing w:after="40" w:before="40"/>
      </w:pPr>
      <w:r>
        <w:rPr>
          <w:rFonts w:ascii="Arial" w:cs="Arial" w:eastAsia="Arial" w:hAnsi="Arial"/>
          <w:sz w:val="20"/>
          <w:szCs w:val="20"/>
        </w:rPr>
        <w:t xml:space="preserve">Teams conversation filing: Microsoft Teams → iManage via Graph ChannelMessage.Read.All application permission</w:t>
      </w:r>
    </w:p>
    <w:p>
      <w:pPr>
        <w:pStyle w:val="ListParagraph"/>
        <w:numPr>
          <w:ilvl w:val="0"/>
          <w:numId w:val="2"/>
        </w:numPr>
        <w:spacing w:after="40" w:before="40"/>
      </w:pPr>
      <w:r>
        <w:rPr>
          <w:rFonts w:ascii="Arial" w:cs="Arial" w:eastAsia="Arial" w:hAnsi="Arial"/>
          <w:sz w:val="20"/>
          <w:szCs w:val="20"/>
        </w:rPr>
        <w:t xml:space="preserve">Meeting filing: Exchange Online calendar + Teams meeting recording → iManage via Calendars.Read and Files.Read permissions</w:t>
      </w:r>
    </w:p>
    <w:p>
      <w:pPr>
        <w:pStyle w:val="Heading2"/>
        <w:spacing w:after="80" w:before="240"/>
      </w:pPr>
      <w:r>
        <w:rPr>
          <w:rFonts w:ascii="Arial" w:cs="Arial" w:eastAsia="Arial" w:hAnsi="Arial"/>
          <w:b/>
          <w:bCs/>
          <w:color w:val="2E75B6"/>
          <w:sz w:val="28"/>
          <w:szCs w:val="28"/>
        </w:rPr>
        <w:t xml:space="preserve">2.5 Email Filing Workflows</w:t>
      </w:r>
    </w:p>
    <w:p>
      <w:pPr>
        <w:pStyle w:val="ListParagraph"/>
        <w:numPr>
          <w:ilvl w:val="0"/>
          <w:numId w:val="3"/>
        </w:numPr>
        <w:spacing w:after="40" w:before="40"/>
      </w:pPr>
      <w:r>
        <w:rPr>
          <w:rFonts w:ascii="Arial" w:cs="Arial" w:eastAsia="Arial" w:hAnsi="Arial"/>
          <w:sz w:val="20"/>
          <w:szCs w:val="20"/>
        </w:rPr>
        <w:t xml:space="preserve">User selects email(s) in Outlook (desktop or web) and invokes the iManage for Outlook add-in</w:t>
      </w:r>
    </w:p>
    <w:p>
      <w:pPr>
        <w:pStyle w:val="ListParagraph"/>
        <w:numPr>
          <w:ilvl w:val="0"/>
          <w:numId w:val="3"/>
        </w:numPr>
        <w:spacing w:after="40" w:before="40"/>
      </w:pPr>
      <w:r>
        <w:rPr>
          <w:rFonts w:ascii="Arial" w:cs="Arial" w:eastAsia="Arial" w:hAnsi="Arial"/>
          <w:sz w:val="20"/>
          <w:szCs w:val="20"/>
        </w:rPr>
        <w:t xml:space="preserve">Add-in presents workspace/matter browsing UI sourced from iManage Work Cloud API</w:t>
      </w:r>
    </w:p>
    <w:p>
      <w:pPr>
        <w:pStyle w:val="ListParagraph"/>
        <w:numPr>
          <w:ilvl w:val="0"/>
          <w:numId w:val="3"/>
        </w:numPr>
        <w:spacing w:after="40" w:before="40"/>
      </w:pPr>
      <w:r>
        <w:rPr>
          <w:rFonts w:ascii="Arial" w:cs="Arial" w:eastAsia="Arial" w:hAnsi="Arial"/>
          <w:sz w:val="20"/>
          <w:szCs w:val="20"/>
        </w:rPr>
        <w:t xml:space="preserve">User selects target workspace, folder, and optionally adds metadata</w:t>
      </w:r>
    </w:p>
    <w:p>
      <w:pPr>
        <w:pStyle w:val="ListParagraph"/>
        <w:numPr>
          <w:ilvl w:val="0"/>
          <w:numId w:val="3"/>
        </w:numPr>
        <w:spacing w:after="40" w:before="40"/>
      </w:pPr>
      <w:r>
        <w:rPr>
          <w:rFonts w:ascii="Arial" w:cs="Arial" w:eastAsia="Arial" w:hAnsi="Arial"/>
          <w:sz w:val="20"/>
          <w:szCs w:val="20"/>
        </w:rPr>
        <w:t xml:space="preserve">Add-in calls iManage API with message reference; iManage calls Microsoft Graph Mail API to retrieve email content</w:t>
      </w:r>
    </w:p>
    <w:p>
      <w:pPr>
        <w:pStyle w:val="ListParagraph"/>
        <w:numPr>
          <w:ilvl w:val="0"/>
          <w:numId w:val="3"/>
        </w:numPr>
        <w:spacing w:after="40" w:before="40"/>
      </w:pPr>
      <w:r>
        <w:rPr>
          <w:rFonts w:ascii="Arial" w:cs="Arial" w:eastAsia="Arial" w:hAnsi="Arial"/>
          <w:sz w:val="20"/>
          <w:szCs w:val="20"/>
        </w:rPr>
        <w:t xml:space="preserve">Email (.msg or .eml) is stored in iManage with metadata (sender, recipients, date, subject, attachments)</w:t>
      </w:r>
    </w:p>
    <w:p>
      <w:pPr>
        <w:pStyle w:val="ListParagraph"/>
        <w:numPr>
          <w:ilvl w:val="0"/>
          <w:numId w:val="3"/>
        </w:numPr>
        <w:spacing w:after="40" w:before="40"/>
      </w:pPr>
      <w:r>
        <w:rPr>
          <w:rFonts w:ascii="Arial" w:cs="Arial" w:eastAsia="Arial" w:hAnsi="Arial"/>
          <w:sz w:val="20"/>
          <w:szCs w:val="20"/>
        </w:rPr>
        <w:t xml:space="preserve">Original email may optionally be tagged or moved in the source mailbox (configuration-dependent)</w:t>
      </w:r>
    </w:p>
    <w:p>
      <w:pPr>
        <w:pStyle w:val="Heading2"/>
        <w:spacing w:after="80" w:before="240"/>
      </w:pPr>
      <w:r>
        <w:rPr>
          <w:rFonts w:ascii="Arial" w:cs="Arial" w:eastAsia="Arial" w:hAnsi="Arial"/>
          <w:b/>
          <w:bCs/>
          <w:color w:val="2E75B6"/>
          <w:sz w:val="28"/>
          <w:szCs w:val="28"/>
        </w:rPr>
        <w:t xml:space="preserve">2.6 Mobile Access Workflows</w:t>
      </w:r>
    </w:p>
    <w:p>
      <w:pPr>
        <w:pStyle w:val="ListParagraph"/>
        <w:numPr>
          <w:ilvl w:val="0"/>
          <w:numId w:val="3"/>
        </w:numPr>
        <w:spacing w:after="40" w:before="40"/>
      </w:pPr>
      <w:r>
        <w:rPr>
          <w:rFonts w:ascii="Arial" w:cs="Arial" w:eastAsia="Arial" w:hAnsi="Arial"/>
          <w:sz w:val="20"/>
          <w:szCs w:val="20"/>
        </w:rPr>
        <w:t xml:space="preserve">User opens iManage Work app on iOS or Android device</w:t>
      </w:r>
    </w:p>
    <w:p>
      <w:pPr>
        <w:pStyle w:val="ListParagraph"/>
        <w:numPr>
          <w:ilvl w:val="0"/>
          <w:numId w:val="3"/>
        </w:numPr>
        <w:spacing w:after="40" w:before="40"/>
      </w:pPr>
      <w:r>
        <w:rPr>
          <w:rFonts w:ascii="Arial" w:cs="Arial" w:eastAsia="Arial" w:hAnsi="Arial"/>
          <w:sz w:val="20"/>
          <w:szCs w:val="20"/>
        </w:rPr>
        <w:t xml:space="preserve">App checks Intune MAM enrollment status and applies App Protection Policy (PIN, copy restrictions, etc.)</w:t>
      </w:r>
    </w:p>
    <w:p>
      <w:pPr>
        <w:pStyle w:val="ListParagraph"/>
        <w:numPr>
          <w:ilvl w:val="0"/>
          <w:numId w:val="3"/>
        </w:numPr>
        <w:spacing w:after="40" w:before="40"/>
      </w:pPr>
      <w:r>
        <w:rPr>
          <w:rFonts w:ascii="Arial" w:cs="Arial" w:eastAsia="Arial" w:hAnsi="Arial"/>
          <w:sz w:val="20"/>
          <w:szCs w:val="20"/>
        </w:rPr>
        <w:t xml:space="preserve">App initiates SAML 2.0 authentication via device browser or embedded WebView to Entra ID</w:t>
      </w:r>
    </w:p>
    <w:p>
      <w:pPr>
        <w:pStyle w:val="ListParagraph"/>
        <w:numPr>
          <w:ilvl w:val="0"/>
          <w:numId w:val="3"/>
        </w:numPr>
        <w:spacing w:after="40" w:before="40"/>
      </w:pPr>
      <w:r>
        <w:rPr>
          <w:rFonts w:ascii="Arial" w:cs="Arial" w:eastAsia="Arial" w:hAnsi="Arial"/>
          <w:sz w:val="20"/>
          <w:szCs w:val="20"/>
        </w:rPr>
        <w:t xml:space="preserve">Entra ID evaluates Conditional Access policy; device compliance and app protection policy compliance checked</w:t>
      </w:r>
    </w:p>
    <w:p>
      <w:pPr>
        <w:pStyle w:val="ListParagraph"/>
        <w:numPr>
          <w:ilvl w:val="0"/>
          <w:numId w:val="3"/>
        </w:numPr>
        <w:spacing w:after="40" w:before="40"/>
      </w:pPr>
      <w:r>
        <w:rPr>
          <w:rFonts w:ascii="Arial" w:cs="Arial" w:eastAsia="Arial" w:hAnsi="Arial"/>
          <w:sz w:val="20"/>
          <w:szCs w:val="20"/>
        </w:rPr>
        <w:t xml:space="preserve">Upon successful authentication, iManage API token issued and stored in app secure storage</w:t>
      </w:r>
    </w:p>
    <w:p>
      <w:pPr>
        <w:pStyle w:val="ListParagraph"/>
        <w:numPr>
          <w:ilvl w:val="0"/>
          <w:numId w:val="3"/>
        </w:numPr>
        <w:spacing w:after="40" w:before="40"/>
      </w:pPr>
      <w:r>
        <w:rPr>
          <w:rFonts w:ascii="Arial" w:cs="Arial" w:eastAsia="Arial" w:hAnsi="Arial"/>
          <w:sz w:val="20"/>
          <w:szCs w:val="20"/>
        </w:rPr>
        <w:t xml:space="preserve">User accesses documents; offline-cached documents available subject to MAM policy restrictions</w:t>
      </w:r>
    </w:p>
    <w:p>
      <w:r>
        <w:br w:type="page"/>
      </w:r>
    </w:p>
    <w:p>
      <w:pPr>
        <w:pStyle w:val="Heading1"/>
        <w:spacing w:after="120" w:before="360"/>
      </w:pPr>
      <w:r>
        <w:rPr>
          <w:rFonts w:ascii="Arial" w:cs="Arial" w:eastAsia="Arial" w:hAnsi="Arial"/>
          <w:b/>
          <w:bCs/>
          <w:color w:val="1F3864"/>
          <w:sz w:val="36"/>
          <w:szCs w:val="36"/>
        </w:rPr>
        <w:t xml:space="preserve">3. Identity and Access Management</w:t>
      </w:r>
    </w:p>
    <w:p>
      <w:pPr>
        <w:pBdr>
          <w:bottom w:val="single" w:color="2E75B6" w:sz="8" w:space="1"/>
        </w:pBdr>
        <w:spacing w:after="120" w:before="120"/>
      </w:pPr>
    </w:p>
    <w:p>
      <w:pPr>
        <w:pStyle w:val="Heading2"/>
        <w:spacing w:after="80" w:before="240"/>
      </w:pPr>
      <w:r>
        <w:rPr>
          <w:rFonts w:ascii="Arial" w:cs="Arial" w:eastAsia="Arial" w:hAnsi="Arial"/>
          <w:b/>
          <w:bCs/>
          <w:color w:val="2E75B6"/>
          <w:sz w:val="28"/>
          <w:szCs w:val="28"/>
        </w:rPr>
        <w:t xml:space="preserve">3.1 Supported Authentication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Protocol</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Supported</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w:t>
            </w:r>
          </w:p>
        </w:tc>
        <w:tc>
          <w:tcPr>
            <w:tcW w:type="dxa" w:w="39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SAML 2.0</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Yes</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Yes</w:t>
            </w:r>
          </w:p>
        </w:tc>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Primary SSO protocol; supported via Entra ID Enterprise Application gallery</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OpenID Connect (OIDC)</w:t>
            </w:r>
          </w:p>
        </w:tc>
        <w:tc>
          <w:tcPr>
            <w:tcW w:type="dxa" w:w="15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Yes (limited)</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3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Available for certain iManage API integrations; SAML 2.0 preferred for SSO per iManage documentation</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OAuth 2.0</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Yes</w:t>
            </w:r>
          </w:p>
        </w:tc>
        <w:tc>
          <w:tcPr>
            <w:tcW w:type="dxa" w:w="15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Yes (API only)</w:t>
            </w:r>
          </w:p>
        </w:tc>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Used by iManage for Microsoft Graph API access; not for primary user SSO</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WS-Federation</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No</w:t>
            </w:r>
          </w:p>
        </w:tc>
        <w:tc>
          <w:tcPr>
            <w:tcW w:type="dxa" w:w="156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N/A</w:t>
            </w:r>
          </w:p>
        </w:tc>
        <w:tc>
          <w:tcPr>
            <w:tcW w:type="dxa" w:w="3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supported by iManage Work Cloud SaaS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Legacy Authentication (Basic, NTLM)</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No</w:t>
            </w:r>
          </w:p>
        </w:tc>
        <w:tc>
          <w:tcPr>
            <w:tcW w:type="dxa" w:w="156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N/A</w:t>
            </w:r>
          </w:p>
        </w:tc>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supported; Entra ID Conditional Access should block legacy auth explicitly</w:t>
            </w:r>
          </w:p>
        </w:tc>
      </w:tr>
    </w:tbl>
    <w:p>
      <w:pPr>
        <w:pStyle w:val="Heading2"/>
        <w:spacing w:after="80" w:before="240"/>
      </w:pPr>
      <w:r>
        <w:rPr>
          <w:rFonts w:ascii="Arial" w:cs="Arial" w:eastAsia="Arial" w:hAnsi="Arial"/>
          <w:b/>
          <w:bCs/>
          <w:color w:val="2E75B6"/>
          <w:sz w:val="28"/>
          <w:szCs w:val="28"/>
        </w:rPr>
        <w:t xml:space="preserve">3.2 SAML 2.0 Configuration Requirements</w:t>
      </w:r>
    </w:p>
    <w:p>
      <w:pPr>
        <w:pStyle w:val="Heading3"/>
        <w:spacing w:after="60" w:before="160"/>
      </w:pPr>
      <w:r>
        <w:rPr>
          <w:rFonts w:ascii="Arial" w:cs="Arial" w:eastAsia="Arial" w:hAnsi="Arial"/>
          <w:b/>
          <w:bCs/>
          <w:color w:val="1F3864"/>
          <w:sz w:val="24"/>
          <w:szCs w:val="24"/>
        </w:rPr>
        <w:t xml:space="preserve">3.2.1 Required SAML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Claim Name</w:t>
            </w:r>
          </w:p>
        </w:tc>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SAML Attribute</w:t>
            </w:r>
          </w:p>
        </w:tc>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(Entra ID)</w:t>
            </w:r>
          </w:p>
        </w:tc>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NameID</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urn:oasis:names:tc:SAML:1.1:nameid-format:emailAddress</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user.userprincipalname</w:t>
            </w:r>
          </w:p>
        </w:tc>
        <w:tc>
          <w:tcPr>
            <w:tcW w:type="dxa" w:w="234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Yes – Primary identifier</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email</w:t>
            </w:r>
          </w:p>
        </w:tc>
        <w:tc>
          <w:tcPr>
            <w:tcW w:type="dxa" w:w="234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http://schemas.xmlsoap.org/ws/2005/05/identity/claims/emailaddress</w:t>
            </w:r>
          </w:p>
        </w:tc>
        <w:tc>
          <w:tcPr>
            <w:tcW w:type="dxa" w:w="234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user.mail</w:t>
            </w:r>
          </w:p>
        </w:tc>
        <w:tc>
          <w:tcPr>
            <w:tcW w:type="dxa" w:w="234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Yes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givenname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http://schemas.xmlsoap.org/ws/2005/05/identity/claims/givenname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user.givenname</w:t>
            </w:r>
          </w:p>
        </w:tc>
        <w:tc>
          <w:tcPr>
            <w:tcW w:type="dxa" w:w="234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Yes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surname</w:t>
            </w:r>
          </w:p>
        </w:tc>
        <w:tc>
          <w:tcPr>
            <w:tcW w:type="dxa" w:w="234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http://schemas.xmlsoap.org/ws/2005/05/identity/claims/surname</w:t>
            </w:r>
          </w:p>
        </w:tc>
        <w:tc>
          <w:tcPr>
            <w:tcW w:type="dxa" w:w="234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user.surname</w:t>
            </w:r>
          </w:p>
        </w:tc>
        <w:tc>
          <w:tcPr>
            <w:tcW w:type="dxa" w:w="234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Yes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displayname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http://schemas.microsoft.com/identity/claims/displayname</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user.displayname</w:t>
            </w:r>
          </w:p>
        </w:tc>
        <w:tc>
          <w:tcPr>
            <w:tcW w:type="dxa" w:w="234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Yes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groups</w:t>
            </w:r>
          </w:p>
        </w:tc>
        <w:tc>
          <w:tcPr>
            <w:tcW w:type="dxa" w:w="234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http://schemas.microsoft.com/ws/2008/06/identity/claims/groups</w:t>
            </w:r>
          </w:p>
        </w:tc>
        <w:tc>
          <w:tcPr>
            <w:tcW w:type="dxa" w:w="234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user.assignedroles or groups</w:t>
            </w:r>
          </w:p>
        </w:tc>
        <w:tc>
          <w:tcPr>
            <w:tcW w:type="dxa" w:w="234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Recommended – for group-based access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employeeid</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http://schemas.xmlsoap.org/ws/2005/05/identity/claims/employeeid</w:t>
            </w:r>
          </w:p>
        </w:tc>
        <w:tc>
          <w:tcPr>
            <w:tcW w:type="dxa" w:w="234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user.employeeid</w:t>
            </w:r>
          </w:p>
        </w:tc>
        <w:tc>
          <w:tcPr>
            <w:tcW w:type="dxa" w:w="234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Optional – for user matching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C4" w:val="clear"/>
            <w:tcMar>
              <w:top w:type="dxa" w:w="80"/>
              <w:left w:type="dxa" w:w="120"/>
              <w:bottom w:type="dxa" w:w="80"/>
              <w:right w:type="dxa" w:w="120"/>
            </w:tcMar>
          </w:tcPr>
          <w:p>
            <w:r>
              <w:rPr>
                <w:rFonts w:ascii="Arial" w:cs="Arial" w:eastAsia="Arial" w:hAnsi="Arial"/>
                <w:b/>
                <w:bCs/>
                <w:color w:val="1F3864"/>
                <w:sz w:val="18"/>
                <w:szCs w:val="18"/>
              </w:rPr>
              <w:t xml:space="preserve">⚑ VENDOR: </w:t>
            </w:r>
            <w:r>
              <w:rPr>
                <w:rFonts w:ascii="Arial" w:cs="Arial" w:eastAsia="Arial" w:hAnsi="Arial"/>
                <w:sz w:val="18"/>
                <w:szCs w:val="18"/>
              </w:rPr>
              <w:t xml:space="preserve">NameID format should use emailAddress format mapped to userPrincipalName per iManage SSO configuration guides. Confirm exact NameID format requirement with iManage before configuration in production.</w:t>
            </w:r>
          </w:p>
        </w:tc>
      </w:tr>
    </w:tbl>
    <w:p>
      <w:pPr>
        <w:pStyle w:val="Heading2"/>
        <w:spacing w:after="80" w:before="240"/>
      </w:pPr>
      <w:r>
        <w:rPr>
          <w:rFonts w:ascii="Arial" w:cs="Arial" w:eastAsia="Arial" w:hAnsi="Arial"/>
          <w:b/>
          <w:bCs/>
          <w:color w:val="2E75B6"/>
          <w:sz w:val="28"/>
          <w:szCs w:val="28"/>
        </w:rPr>
        <w:t xml:space="preserve">3.3 SP-Initiated vs IdP-Initiated SSO</w:t>
      </w:r>
    </w:p>
    <w:p>
      <w:pPr>
        <w:spacing w:after="60" w:before="60"/>
      </w:pPr>
      <w:r>
        <w:rPr>
          <w:rFonts w:ascii="Arial" w:cs="Arial" w:eastAsia="Arial" w:hAnsi="Arial"/>
          <w:sz w:val="20"/>
          <w:szCs w:val="20"/>
        </w:rPr>
        <w:t xml:space="preserve">iManage Work Cloud supports both SP-initiated and IdP-initiated SSO flows. The recommended approach for financial institution deployment is SP-Initiated SSO for the following reasons:</w:t>
      </w:r>
    </w:p>
    <w:p>
      <w:pPr>
        <w:pStyle w:val="ListParagraph"/>
        <w:numPr>
          <w:ilvl w:val="0"/>
          <w:numId w:val="2"/>
        </w:numPr>
        <w:spacing w:after="40" w:before="40"/>
      </w:pPr>
      <w:r>
        <w:rPr>
          <w:rFonts w:ascii="Arial" w:cs="Arial" w:eastAsia="Arial" w:hAnsi="Arial"/>
          <w:sz w:val="20"/>
          <w:szCs w:val="20"/>
        </w:rPr>
        <w:t xml:space="preserve">SP-Initiated flow ensures Conditional Access policies are always evaluated before access is granted</w:t>
      </w:r>
    </w:p>
    <w:p>
      <w:pPr>
        <w:pStyle w:val="ListParagraph"/>
        <w:numPr>
          <w:ilvl w:val="0"/>
          <w:numId w:val="2"/>
        </w:numPr>
        <w:spacing w:after="40" w:before="40"/>
      </w:pPr>
      <w:r>
        <w:rPr>
          <w:rFonts w:ascii="Arial" w:cs="Arial" w:eastAsia="Arial" w:hAnsi="Arial"/>
          <w:sz w:val="20"/>
          <w:szCs w:val="20"/>
        </w:rPr>
        <w:t xml:space="preserve">IdP-Initiated SSO can bypass certain Conditional Access controls depending on policy configuration; this represents an audit and compliance risk</w:t>
      </w:r>
    </w:p>
    <w:p>
      <w:pPr>
        <w:pStyle w:val="ListParagraph"/>
        <w:numPr>
          <w:ilvl w:val="0"/>
          <w:numId w:val="2"/>
        </w:numPr>
        <w:spacing w:after="40" w:before="40"/>
      </w:pPr>
      <w:r>
        <w:rPr>
          <w:rFonts w:ascii="Arial" w:cs="Arial" w:eastAsia="Arial" w:hAnsi="Arial"/>
          <w:sz w:val="20"/>
          <w:szCs w:val="20"/>
        </w:rPr>
        <w:t xml:space="preserve">SP-Initiated aligns with zero-trust architecture principles by requiring authentication context for each access attempt</w:t>
      </w:r>
    </w:p>
    <w:p>
      <w:pPr>
        <w:pStyle w:val="ListParagraph"/>
        <w:numPr>
          <w:ilvl w:val="0"/>
          <w:numId w:val="2"/>
        </w:numPr>
        <w:spacing w:after="40" w:before="40"/>
      </w:pPr>
      <w:r>
        <w:rPr>
          <w:rFonts w:ascii="Arial" w:cs="Arial" w:eastAsia="Arial" w:hAnsi="Arial"/>
          <w:sz w:val="20"/>
          <w:szCs w:val="20"/>
        </w:rPr>
        <w:t xml:space="preserve">Deep-link access to specific documents or workspaces is preserved in the SP-Initiated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EBD0" w:val="clear"/>
            <w:tcMar>
              <w:top w:type="dxa" w:w="80"/>
              <w:left w:type="dxa" w:w="120"/>
              <w:bottom w:type="dxa" w:w="80"/>
              <w:right w:type="dxa" w:w="120"/>
            </w:tcMar>
          </w:tcPr>
          <w:p>
            <w:r>
              <w:rPr>
                <w:rFonts w:ascii="Arial" w:cs="Arial" w:eastAsia="Arial" w:hAnsi="Arial"/>
                <w:b/>
                <w:bCs/>
                <w:color w:val="A04000"/>
                <w:sz w:val="18"/>
                <w:szCs w:val="18"/>
              </w:rPr>
              <w:t xml:space="preserve">⚑ WARNING: </w:t>
            </w:r>
            <w:r>
              <w:rPr>
                <w:rFonts w:ascii="Arial" w:cs="Arial" w:eastAsia="Arial" w:hAnsi="Arial"/>
                <w:sz w:val="18"/>
                <w:szCs w:val="18"/>
              </w:rPr>
              <w:t xml:space="preserve">IdP-Initiated SSO should be evaluated against Conditional Access policy set and DISABLED unless a specific business requirement mandates it. Consult with Microsoft identity engineering if IdP-Initiated SSO is required.</w:t>
            </w:r>
          </w:p>
        </w:tc>
      </w:tr>
    </w:tbl>
    <w:p>
      <w:pPr>
        <w:pStyle w:val="Heading2"/>
        <w:spacing w:after="80" w:before="240"/>
      </w:pPr>
      <w:r>
        <w:rPr>
          <w:rFonts w:ascii="Arial" w:cs="Arial" w:eastAsia="Arial" w:hAnsi="Arial"/>
          <w:b/>
          <w:bCs/>
          <w:color w:val="2E75B6"/>
          <w:sz w:val="28"/>
          <w:szCs w:val="28"/>
        </w:rPr>
        <w:t xml:space="preserve">3.4 User Provisioning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Provisioning Method</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Supported</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w:t>
            </w:r>
          </w:p>
        </w:tc>
        <w:tc>
          <w:tcPr>
            <w:tcW w:type="dxa" w:w="39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SCIM 2.0 (Automated)</w:t>
            </w:r>
          </w:p>
        </w:tc>
        <w:tc>
          <w:tcPr>
            <w:tcW w:type="dxa" w:w="15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Vendor Confirmation Required</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(if available)</w:t>
            </w:r>
          </w:p>
        </w:tc>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SCIM 2.0 support would enable automated lifecycle management from Entra ID; must confirm with iManage</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JIT (Just-In-Time) via SAML</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(fallback)</w:t>
            </w:r>
          </w:p>
        </w:tc>
        <w:tc>
          <w:tcPr>
            <w:tcW w:type="dxa" w:w="3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Users are provisioned on first successful SAML authentication; requires pre-configured iManage user template</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Manual Provisioning via Control Center</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w:t>
            </w:r>
          </w:p>
        </w:tc>
        <w:tc>
          <w:tcPr>
            <w:tcW w:type="dxa" w:w="156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 (not scalable)</w:t>
            </w:r>
          </w:p>
        </w:tc>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Admin creates users manually in iManage Control Center; not suitable for enterprise scale</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CSV Import via Control Center</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w:t>
            </w:r>
          </w:p>
        </w:tc>
        <w:tc>
          <w:tcPr>
            <w:tcW w:type="dxa" w:w="156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 (not automated)</w:t>
            </w:r>
          </w:p>
        </w:tc>
        <w:tc>
          <w:tcPr>
            <w:tcW w:type="dxa" w:w="3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Bulk user import via CSV; suitable for initial migration only</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Microsoft Entra ID User Provisioning (Azure AD Provisioning)</w:t>
            </w:r>
          </w:p>
        </w:tc>
        <w:tc>
          <w:tcPr>
            <w:tcW w:type="dxa" w:w="15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Vendor Confirmation Required</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(preferred)</w:t>
            </w:r>
          </w:p>
        </w:tc>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Requires SCIM endpoint from iManage; check iManage app gallery for provisioning connector</w:t>
            </w:r>
          </w:p>
        </w:tc>
      </w:tr>
    </w:tbl>
    <w:p>
      <w:pPr>
        <w:pStyle w:val="Heading2"/>
        <w:spacing w:after="80" w:before="240"/>
      </w:pPr>
      <w:r>
        <w:rPr>
          <w:rFonts w:ascii="Arial" w:cs="Arial" w:eastAsia="Arial" w:hAnsi="Arial"/>
          <w:b/>
          <w:bCs/>
          <w:color w:val="2E75B6"/>
          <w:sz w:val="28"/>
          <w:szCs w:val="28"/>
        </w:rPr>
        <w:t xml:space="preserve">3.5 Role-Based Access Control (RBAC)</w:t>
      </w:r>
    </w:p>
    <w:p>
      <w:pPr>
        <w:spacing w:after="60" w:before="60"/>
      </w:pPr>
      <w:r>
        <w:rPr>
          <w:rFonts w:ascii="Arial" w:cs="Arial" w:eastAsia="Arial" w:hAnsi="Arial"/>
          <w:sz w:val="20"/>
          <w:szCs w:val="20"/>
        </w:rPr>
        <w:t xml:space="preserve">iManage Work Cloud implements a hierarchical RBAC model. The following roles are defined at the iManage platform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351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Permissions</w:t>
            </w:r>
          </w:p>
        </w:tc>
        <w:tc>
          <w:tcPr>
            <w:tcW w:type="dxa" w:w="351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 Assignment</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System Administrator</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Full administrative access including Control Center, user management, policy configuration, and security settings</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Break-glass accounts only; no named individual should hold permanent sysadmin rights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Library Administrator</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Manage document libraries, workspaces, templates, and folder structures within assigned scope</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Designated DMS administrators; assigned per-library scope</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User Administrator</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Create, modify, and deactivate user accounts; assign group memberships</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team; restricted to user lifecycle operations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Power User</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Create workspaces, manage team memberships within workspaces, configure workspace-level settings</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Senior associates or designated workspace owners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Standard User</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Create, edit, and file documents within assigned workspaces; file emails; search</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Default role for all knowledge workers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Read-Only User</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View and download documents; no create/edit/file capabilities</w:t>
            </w:r>
          </w:p>
        </w:tc>
        <w:tc>
          <w:tcPr>
            <w:tcW w:type="dxa" w:w="351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Auditors, compliance reviewers, external advisors with limited access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External User</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Scoped access to specific shared workspaces only; defined by iManage Share configuration</w:t>
            </w:r>
          </w:p>
        </w:tc>
        <w:tc>
          <w:tcPr>
            <w:tcW w:type="dxa" w:w="351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External counsel, regulators, clients (via iManage Share or dedicated portal)</w:t>
            </w:r>
          </w:p>
        </w:tc>
      </w:tr>
    </w:tbl>
    <w:p>
      <w:pPr>
        <w:pStyle w:val="Heading2"/>
        <w:spacing w:after="80" w:before="240"/>
      </w:pPr>
      <w:r>
        <w:rPr>
          <w:rFonts w:ascii="Arial" w:cs="Arial" w:eastAsia="Arial" w:hAnsi="Arial"/>
          <w:b/>
          <w:bCs/>
          <w:color w:val="2E75B6"/>
          <w:sz w:val="28"/>
          <w:szCs w:val="28"/>
        </w:rPr>
        <w:t xml:space="preserve">3.6 Break-Glass Account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4"/>
              <w:left w:val="single" w:color="E74C3C" w:sz="4"/>
              <w:bottom w:val="single" w:color="E74C3C" w:sz="4"/>
              <w:right w:val="single" w:color="E74C3C" w:sz="4"/>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 RISK: </w:t>
            </w:r>
            <w:r>
              <w:rPr>
                <w:rFonts w:ascii="Arial" w:cs="Arial" w:eastAsia="Arial" w:hAnsi="Arial"/>
                <w:sz w:val="18"/>
                <w:szCs w:val="18"/>
              </w:rPr>
              <w:t xml:space="preserve">Break-glass accounts are a critical resilience control. Failure to configure them before go-live represents a HIGH operational risk.</w:t>
            </w:r>
          </w:p>
        </w:tc>
      </w:tr>
    </w:tbl>
    <w:p>
      <w:pPr>
        <w:pStyle w:val="ListParagraph"/>
        <w:numPr>
          <w:ilvl w:val="0"/>
          <w:numId w:val="2"/>
        </w:numPr>
        <w:spacing w:after="40" w:before="40"/>
      </w:pPr>
      <w:r>
        <w:rPr>
          <w:rFonts w:ascii="Arial" w:cs="Arial" w:eastAsia="Arial" w:hAnsi="Arial"/>
          <w:sz w:val="20"/>
          <w:szCs w:val="20"/>
        </w:rPr>
        <w:t xml:space="preserve">Create a minimum of two (2) break-glass accounts in iManage Control Center with System Administrator role</w:t>
      </w:r>
    </w:p>
    <w:p>
      <w:pPr>
        <w:pStyle w:val="ListParagraph"/>
        <w:numPr>
          <w:ilvl w:val="0"/>
          <w:numId w:val="2"/>
        </w:numPr>
        <w:spacing w:after="40" w:before="40"/>
      </w:pPr>
      <w:r>
        <w:rPr>
          <w:rFonts w:ascii="Arial" w:cs="Arial" w:eastAsia="Arial" w:hAnsi="Arial"/>
          <w:sz w:val="20"/>
          <w:szCs w:val="20"/>
        </w:rPr>
        <w:t xml:space="preserve">Break-glass accounts MUST NOT be synchronized from Entra ID; they should be local iManage accounts with complex passwords stored in an approved privileged access vault (PAM system)</w:t>
      </w:r>
    </w:p>
    <w:p>
      <w:pPr>
        <w:pStyle w:val="ListParagraph"/>
        <w:numPr>
          <w:ilvl w:val="0"/>
          <w:numId w:val="2"/>
        </w:numPr>
        <w:spacing w:after="40" w:before="40"/>
      </w:pPr>
      <w:r>
        <w:rPr>
          <w:rFonts w:ascii="Arial" w:cs="Arial" w:eastAsia="Arial" w:hAnsi="Arial"/>
          <w:sz w:val="20"/>
          <w:szCs w:val="20"/>
        </w:rPr>
        <w:t xml:space="preserve">Break-glass accounts in Entra ID (if required for Graph API access) must be excluded from all Conditional Access policies</w:t>
      </w:r>
    </w:p>
    <w:p>
      <w:pPr>
        <w:pStyle w:val="ListParagraph"/>
        <w:numPr>
          <w:ilvl w:val="0"/>
          <w:numId w:val="2"/>
        </w:numPr>
        <w:spacing w:after="40" w:before="40"/>
      </w:pPr>
      <w:r>
        <w:rPr>
          <w:rFonts w:ascii="Arial" w:cs="Arial" w:eastAsia="Arial" w:hAnsi="Arial"/>
          <w:sz w:val="20"/>
          <w:szCs w:val="20"/>
        </w:rPr>
        <w:t xml:space="preserve">Break-glass account credentials must be stored in a hardware-secured vault with dual-custody access procedures</w:t>
      </w:r>
    </w:p>
    <w:p>
      <w:pPr>
        <w:pStyle w:val="ListParagraph"/>
        <w:numPr>
          <w:ilvl w:val="0"/>
          <w:numId w:val="2"/>
        </w:numPr>
        <w:spacing w:after="40" w:before="40"/>
      </w:pPr>
      <w:r>
        <w:rPr>
          <w:rFonts w:ascii="Arial" w:cs="Arial" w:eastAsia="Arial" w:hAnsi="Arial"/>
          <w:sz w:val="20"/>
          <w:szCs w:val="20"/>
        </w:rPr>
        <w:t xml:space="preserve">Access to break-glass accounts must generate alerts in the SIEM; all usage must be reviewed within 24 hours</w:t>
      </w:r>
    </w:p>
    <w:p>
      <w:pPr>
        <w:pStyle w:val="ListParagraph"/>
        <w:numPr>
          <w:ilvl w:val="0"/>
          <w:numId w:val="2"/>
        </w:numPr>
        <w:spacing w:after="40" w:before="40"/>
      </w:pPr>
      <w:r>
        <w:rPr>
          <w:rFonts w:ascii="Arial" w:cs="Arial" w:eastAsia="Arial" w:hAnsi="Arial"/>
          <w:sz w:val="20"/>
          <w:szCs w:val="20"/>
        </w:rPr>
        <w:t xml:space="preserve">Conduct quarterly break-glass account access tests to confirm credentials remain valid</w:t>
      </w:r>
    </w:p>
    <w:p>
      <w:pPr>
        <w:pStyle w:val="ListParagraph"/>
        <w:numPr>
          <w:ilvl w:val="0"/>
          <w:numId w:val="2"/>
        </w:numPr>
        <w:spacing w:after="40" w:before="40"/>
      </w:pPr>
      <w:r>
        <w:rPr>
          <w:rFonts w:ascii="Arial" w:cs="Arial" w:eastAsia="Arial" w:hAnsi="Arial"/>
          <w:sz w:val="20"/>
          <w:szCs w:val="20"/>
        </w:rPr>
        <w:t xml:space="preserve">iManage break-glass accounts must have their passwords rotated on a defined schedule (recommended: 90 days) and upon each use</w:t>
      </w:r>
    </w:p>
    <w:p>
      <w:pPr>
        <w:pStyle w:val="Heading2"/>
        <w:spacing w:after="80" w:before="240"/>
      </w:pPr>
      <w:r>
        <w:rPr>
          <w:rFonts w:ascii="Arial" w:cs="Arial" w:eastAsia="Arial" w:hAnsi="Arial"/>
          <w:b/>
          <w:bCs/>
          <w:color w:val="2E75B6"/>
          <w:sz w:val="28"/>
          <w:szCs w:val="28"/>
        </w:rPr>
        <w:t xml:space="preserve">3.7 Certificate Lifecycle Management</w:t>
      </w:r>
    </w:p>
    <w:p>
      <w:pPr>
        <w:spacing w:after="60" w:before="60"/>
      </w:pPr>
      <w:r>
        <w:rPr>
          <w:rFonts w:ascii="Arial" w:cs="Arial" w:eastAsia="Arial" w:hAnsi="Arial"/>
          <w:sz w:val="20"/>
          <w:szCs w:val="20"/>
        </w:rPr>
        <w:t xml:space="preserve">SAML 2.0 signing certificates issued by Microsoft Entra ID for the iManage Enterprise Application have a default validity of 3 years. The following certificate lifecycle controls must be implemented:</w:t>
      </w:r>
    </w:p>
    <w:p>
      <w:pPr>
        <w:pStyle w:val="ListParagraph"/>
        <w:numPr>
          <w:ilvl w:val="0"/>
          <w:numId w:val="2"/>
        </w:numPr>
        <w:spacing w:after="40" w:before="40"/>
      </w:pPr>
      <w:r>
        <w:rPr>
          <w:rFonts w:ascii="Arial" w:cs="Arial" w:eastAsia="Arial" w:hAnsi="Arial"/>
          <w:sz w:val="20"/>
          <w:szCs w:val="20"/>
        </w:rPr>
        <w:t xml:space="preserve">Register certificate expiry date in the organizational certificate management system or ITSM</w:t>
      </w:r>
    </w:p>
    <w:p>
      <w:pPr>
        <w:pStyle w:val="ListParagraph"/>
        <w:numPr>
          <w:ilvl w:val="0"/>
          <w:numId w:val="2"/>
        </w:numPr>
        <w:spacing w:after="40" w:before="40"/>
      </w:pPr>
      <w:r>
        <w:rPr>
          <w:rFonts w:ascii="Arial" w:cs="Arial" w:eastAsia="Arial" w:hAnsi="Arial"/>
          <w:sz w:val="20"/>
          <w:szCs w:val="20"/>
        </w:rPr>
        <w:t xml:space="preserve">Configure automated alerts at 90, 60, 30, and 7 days before certificate expiry</w:t>
      </w:r>
    </w:p>
    <w:p>
      <w:pPr>
        <w:pStyle w:val="ListParagraph"/>
        <w:numPr>
          <w:ilvl w:val="0"/>
          <w:numId w:val="2"/>
        </w:numPr>
        <w:spacing w:after="40" w:before="40"/>
      </w:pPr>
      <w:r>
        <w:rPr>
          <w:rFonts w:ascii="Arial" w:cs="Arial" w:eastAsia="Arial" w:hAnsi="Arial"/>
          <w:sz w:val="20"/>
          <w:szCs w:val="20"/>
        </w:rPr>
        <w:t xml:space="preserve">Plan certificate rotation 60 days before expiry to allow for testing in Dev and Test environments</w:t>
      </w:r>
    </w:p>
    <w:p>
      <w:pPr>
        <w:pStyle w:val="ListParagraph"/>
        <w:numPr>
          <w:ilvl w:val="0"/>
          <w:numId w:val="2"/>
        </w:numPr>
        <w:spacing w:after="40" w:before="40"/>
      </w:pPr>
      <w:r>
        <w:rPr>
          <w:rFonts w:ascii="Arial" w:cs="Arial" w:eastAsia="Arial" w:hAnsi="Arial"/>
          <w:sz w:val="20"/>
          <w:szCs w:val="20"/>
        </w:rPr>
        <w:t xml:space="preserve">Coordinate with iManage to upload the new certificate to their SP configuration before Entra ID certificate is rotated</w:t>
      </w:r>
    </w:p>
    <w:p>
      <w:pPr>
        <w:pStyle w:val="ListParagraph"/>
        <w:numPr>
          <w:ilvl w:val="0"/>
          <w:numId w:val="2"/>
        </w:numPr>
        <w:spacing w:after="40" w:before="40"/>
      </w:pPr>
      <w:r>
        <w:rPr>
          <w:rFonts w:ascii="Arial" w:cs="Arial" w:eastAsia="Arial" w:hAnsi="Arial"/>
          <w:sz w:val="20"/>
          <w:szCs w:val="20"/>
        </w:rPr>
        <w:t xml:space="preserve">Test certificate rotation in Dev environment before executing in Production</w:t>
      </w:r>
    </w:p>
    <w:p>
      <w:pPr>
        <w:pStyle w:val="ListParagraph"/>
        <w:numPr>
          <w:ilvl w:val="0"/>
          <w:numId w:val="2"/>
        </w:numPr>
        <w:spacing w:after="40" w:before="40"/>
      </w:pPr>
      <w:r>
        <w:rPr>
          <w:rFonts w:ascii="Arial" w:cs="Arial" w:eastAsia="Arial" w:hAnsi="Arial"/>
          <w:sz w:val="20"/>
          <w:szCs w:val="20"/>
        </w:rPr>
        <w:t xml:space="preserve">Document the certificate rotation runbook in the IAM standard operating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4"/>
              <w:left w:val="single" w:color="E74C3C" w:sz="4"/>
              <w:bottom w:val="single" w:color="E74C3C" w:sz="4"/>
              <w:right w:val="single" w:color="E74C3C" w:sz="4"/>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 RISK: </w:t>
            </w:r>
            <w:r>
              <w:rPr>
                <w:rFonts w:ascii="Arial" w:cs="Arial" w:eastAsia="Arial" w:hAnsi="Arial"/>
                <w:sz w:val="18"/>
                <w:szCs w:val="18"/>
              </w:rPr>
              <w:t xml:space="preserve">Microsoft Entra ID does NOT automatically rotate SAML signing certificates. Certificate expiry will cause a hard authentication outage. This is a critical operational risk requiring proactive management.</w:t>
            </w:r>
          </w:p>
        </w:tc>
      </w:tr>
    </w:tbl>
    <w:p>
      <w:r>
        <w:br w:type="page"/>
      </w:r>
    </w:p>
    <w:p>
      <w:pPr>
        <w:pStyle w:val="Heading1"/>
        <w:spacing w:after="120" w:before="360"/>
      </w:pPr>
      <w:r>
        <w:rPr>
          <w:rFonts w:ascii="Arial" w:cs="Arial" w:eastAsia="Arial" w:hAnsi="Arial"/>
          <w:b/>
          <w:bCs/>
          <w:color w:val="1F3864"/>
          <w:sz w:val="36"/>
          <w:szCs w:val="36"/>
        </w:rPr>
        <w:t xml:space="preserve">4. Microsoft Graph and API Permissions</w:t>
      </w:r>
    </w:p>
    <w:p>
      <w:pPr>
        <w:pBdr>
          <w:bottom w:val="single" w:color="2E75B6" w:sz="8" w:space="1"/>
        </w:pBdr>
        <w:spacing w:after="120" w:before="120"/>
      </w:pPr>
    </w:p>
    <w:p>
      <w:pPr>
        <w:pStyle w:val="Heading2"/>
        <w:spacing w:after="80" w:before="240"/>
      </w:pPr>
      <w:r>
        <w:rPr>
          <w:rFonts w:ascii="Arial" w:cs="Arial" w:eastAsia="Arial" w:hAnsi="Arial"/>
          <w:b/>
          <w:bCs/>
          <w:color w:val="2E75B6"/>
          <w:sz w:val="28"/>
          <w:szCs w:val="28"/>
        </w:rPr>
        <w:t xml:space="preserve">4.1 Permission Philosophy and Governance</w:t>
      </w:r>
    </w:p>
    <w:p>
      <w:pPr>
        <w:spacing w:after="60" w:before="60"/>
      </w:pPr>
      <w:r>
        <w:rPr>
          <w:rFonts w:ascii="Arial" w:cs="Arial" w:eastAsia="Arial" w:hAnsi="Arial"/>
          <w:sz w:val="20"/>
          <w:szCs w:val="20"/>
        </w:rPr>
        <w:t xml:space="preserve">All Microsoft Graph API permissions granted to the iManage Work Cloud Enterprise Application must adhere to the principle of least privilege. Application-level permissions (granted via admin consent) carry the highest risk because they operate without a user context and apply tenant-wide. Delegated permissions operate in the user's security context and are therefore preferred where technically feasible.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C4" w:val="clear"/>
            <w:tcMar>
              <w:top w:type="dxa" w:w="80"/>
              <w:left w:type="dxa" w:w="120"/>
              <w:bottom w:type="dxa" w:w="80"/>
              <w:right w:type="dxa" w:w="120"/>
            </w:tcMar>
          </w:tcPr>
          <w:p>
            <w:r>
              <w:rPr>
                <w:rFonts w:ascii="Arial" w:cs="Arial" w:eastAsia="Arial" w:hAnsi="Arial"/>
                <w:b/>
                <w:bCs/>
                <w:color w:val="1F3864"/>
                <w:sz w:val="18"/>
                <w:szCs w:val="18"/>
              </w:rPr>
              <w:t xml:space="preserve">⚑ VENDOR: </w:t>
            </w:r>
            <w:r>
              <w:rPr>
                <w:rFonts w:ascii="Arial" w:cs="Arial" w:eastAsia="Arial" w:hAnsi="Arial"/>
                <w:sz w:val="18"/>
                <w:szCs w:val="18"/>
              </w:rPr>
              <w:t xml:space="preserve">The following permission matrix is based on publicly available iManage product documentation, Microsoft Graph API documentation, and security architecture analysis. Permissions marked 'Vendor Confirmation Required' have not been confirmed in published iManage technical documentation and must be validated with the iManage technical team before granting.</w:t>
            </w:r>
          </w:p>
        </w:tc>
      </w:tr>
    </w:tbl>
    <w:p>
      <w:pPr>
        <w:spacing w:after="60" w:before="120"/>
      </w:pPr>
    </w:p>
    <w:p>
      <w:pPr>
        <w:pStyle w:val="Heading2"/>
        <w:spacing w:after="80" w:before="240"/>
      </w:pPr>
      <w:r>
        <w:rPr>
          <w:rFonts w:ascii="Arial" w:cs="Arial" w:eastAsia="Arial" w:hAnsi="Arial"/>
          <w:b/>
          <w:bCs/>
          <w:color w:val="2E75B6"/>
          <w:sz w:val="28"/>
          <w:szCs w:val="28"/>
        </w:rPr>
        <w:t xml:space="preserve">4.2 Permission Matrix</w:t>
      </w:r>
    </w:p>
    <w:p>
      <w:pPr>
        <w:spacing w:after="60" w:before="60"/>
      </w:pPr>
      <w:r>
        <w:rPr>
          <w:rFonts w:ascii="Arial" w:cs="Arial" w:eastAsia="Arial" w:hAnsi="Arial"/>
          <w:sz w:val="20"/>
          <w:szCs w:val="20"/>
        </w:rPr>
        <w:t xml:space="preserve">Table orientation: landscape layout recommended for reference. The full matrix is presented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300"/>
        <w:gridCol w:w="1050"/>
        <w:gridCol w:w="900"/>
        <w:gridCol w:w="900"/>
        <w:gridCol w:w="1100"/>
        <w:gridCol w:w="610"/>
        <w:gridCol w:w="800"/>
      </w:tblGrid>
      <w:tr>
        <w:tc>
          <w:tcPr>
            <w:tcW w:type="dxa" w:w="16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iManage Feature</w:t>
            </w:r>
          </w:p>
        </w:tc>
        <w:tc>
          <w:tcPr>
            <w:tcW w:type="dxa" w:w="11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M365 Dependency</w:t>
            </w:r>
          </w:p>
        </w:tc>
        <w:tc>
          <w:tcPr>
            <w:tcW w:type="dxa" w:w="13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API Endpoint</w:t>
            </w:r>
          </w:p>
        </w:tc>
        <w:tc>
          <w:tcPr>
            <w:tcW w:type="dxa" w:w="105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Permission Scope</w:t>
            </w:r>
          </w:p>
        </w:tc>
        <w:tc>
          <w:tcPr>
            <w:tcW w:type="dxa" w:w="9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 / App</w:t>
            </w:r>
          </w:p>
        </w:tc>
        <w:tc>
          <w:tcPr>
            <w:tcW w:type="dxa" w:w="9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Admin Consent</w:t>
            </w:r>
          </w:p>
        </w:tc>
        <w:tc>
          <w:tcPr>
            <w:tcW w:type="dxa" w:w="11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Business Justification</w:t>
            </w:r>
          </w:p>
        </w:tc>
        <w:tc>
          <w:tcPr>
            <w:tcW w:type="dxa" w:w="61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W w:type="dxa" w:w="8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Least-Privilege Alt.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Outlook Email Filing</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Exchange Online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/me/messages, /me/mailFolders</w:t>
            </w:r>
          </w:p>
        </w:tc>
        <w:tc>
          <w:tcPr>
            <w:tcW w:type="dxa" w:w="10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Mail.ReadWrite</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Delegated</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Read and file user emails from Outlook into iManage workspaces</w:t>
            </w:r>
          </w:p>
        </w:tc>
        <w:tc>
          <w:tcPr>
            <w:tcW w:type="dxa" w:w="61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Mail.Read (if read-only filing; write only if moving/tagging)</w:t>
            </w:r>
          </w:p>
        </w:tc>
      </w:tr>
      <w:tr>
        <w:tc>
          <w:tcPr>
            <w:tcW w:type="dxa" w:w="1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Outlook Save to iManage</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Exchange Online</w:t>
            </w:r>
          </w:p>
        </w:tc>
        <w:tc>
          <w:tcPr>
            <w:tcW w:type="dxa" w:w="1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/me/messages/{id}</w:t>
            </w:r>
          </w:p>
        </w:tc>
        <w:tc>
          <w:tcPr>
            <w:tcW w:type="dxa" w:w="105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Mail.ReadWrite</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Delegated</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Retrieve email content and attachments for filing to iManage</w:t>
            </w:r>
          </w:p>
        </w:tc>
        <w:tc>
          <w:tcPr>
            <w:tcW w:type="dxa" w:w="61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Mail.Read if tagging not required</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Outlook Open from iManage</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Exchange Online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/me/messages (create draft)</w:t>
            </w:r>
          </w:p>
        </w:tc>
        <w:tc>
          <w:tcPr>
            <w:tcW w:type="dxa" w:w="10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Mail.ReadWrite</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Delegated</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Open filed email from iManage back into Outlook compose window</w:t>
            </w:r>
          </w:p>
        </w:tc>
        <w:tc>
          <w:tcPr>
            <w:tcW w:type="dxa" w:w="61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Mail.Read for viewing only</w:t>
            </w:r>
          </w:p>
        </w:tc>
      </w:tr>
      <w:tr>
        <w:tc>
          <w:tcPr>
            <w:tcW w:type="dxa" w:w="1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Teams Conversation Filing</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Teams</w:t>
            </w:r>
          </w:p>
        </w:tc>
        <w:tc>
          <w:tcPr>
            <w:tcW w:type="dxa" w:w="1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/teams/{id}/channels/{id}/messages</w:t>
            </w:r>
          </w:p>
        </w:tc>
        <w:tc>
          <w:tcPr>
            <w:tcW w:type="dxa" w:w="105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ChannelMessage.Read.All</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Application</w:t>
            </w:r>
          </w:p>
        </w:tc>
        <w:tc>
          <w:tcPr>
            <w:tcW w:type="dxa" w:w="9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Yes</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Read Teams channel messages for filing to iManage workspaces</w:t>
            </w:r>
          </w:p>
        </w:tc>
        <w:tc>
          <w:tcPr>
            <w:tcW w:type="dxa" w:w="61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Delegate if user-context sufficient; confirm with vendor</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Teams Meeting Filing</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Exchange Online + Teams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/me/events, /teams/meetings/{id}</w:t>
            </w:r>
          </w:p>
        </w:tc>
        <w:tc>
          <w:tcPr>
            <w:tcW w:type="dxa" w:w="10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Calendars.Read + OnlineMeetings.Read</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Delegated</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Access meeting metadata and recordings for filing to iManage</w:t>
            </w:r>
          </w:p>
        </w:tc>
        <w:tc>
          <w:tcPr>
            <w:tcW w:type="dxa" w:w="61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Calendars.Read (no write needed for meeting filing)</w:t>
            </w:r>
          </w:p>
        </w:tc>
      </w:tr>
      <w:tr>
        <w:tc>
          <w:tcPr>
            <w:tcW w:type="dxa" w:w="1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Teams Channel Integration</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Teams</w:t>
            </w:r>
          </w:p>
        </w:tc>
        <w:tc>
          <w:tcPr>
            <w:tcW w:type="dxa" w:w="1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/teams, /teams/{id}/channels</w:t>
            </w:r>
          </w:p>
        </w:tc>
        <w:tc>
          <w:tcPr>
            <w:tcW w:type="dxa" w:w="105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Team.ReadBasic.All, Group.Read.All</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Delegated</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List Teams and channels for workspace binding in iManage</w:t>
            </w:r>
          </w:p>
        </w:tc>
        <w:tc>
          <w:tcPr>
            <w:tcW w:type="dxa" w:w="61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Team.ReadBasic.All preferred over Group.Read.All</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Document Co-authoring</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SharePoint / OneDrive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/drives/{id}/items/{id}</w:t>
            </w:r>
          </w:p>
        </w:tc>
        <w:tc>
          <w:tcPr>
            <w:tcW w:type="dxa" w:w="10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Files.ReadWrite, Sites.ReadWrite.All</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Delegated</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Enable collaborative editing of iManage documents via Office Online</w:t>
            </w:r>
          </w:p>
        </w:tc>
        <w:tc>
          <w:tcPr>
            <w:tcW w:type="dxa" w:w="61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Files.ReadWrite scoped to iManage drive if supported</w:t>
            </w:r>
          </w:p>
        </w:tc>
      </w:tr>
      <w:tr>
        <w:tc>
          <w:tcPr>
            <w:tcW w:type="dxa" w:w="1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SharePoint Integration</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SharePoint Online</w:t>
            </w:r>
          </w:p>
        </w:tc>
        <w:tc>
          <w:tcPr>
            <w:tcW w:type="dxa" w:w="1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/sites, /sites/{id}/drive</w:t>
            </w:r>
          </w:p>
        </w:tc>
        <w:tc>
          <w:tcPr>
            <w:tcW w:type="dxa" w:w="105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Sites.Read.All or Sites.ReadWrite.All</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Application</w:t>
            </w:r>
          </w:p>
        </w:tc>
        <w:tc>
          <w:tcPr>
            <w:tcW w:type="dxa" w:w="9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Yes</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Access SharePoint site content for document sync workflows</w:t>
            </w:r>
          </w:p>
        </w:tc>
        <w:tc>
          <w:tcPr>
            <w:tcW w:type="dxa" w:w="61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Sites.Read.All if read-only; Sites.ReadWrite.All only if writing back</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OneDrive Integration</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OneDrive for Business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/me/drive, /drives/{id}</w:t>
            </w:r>
          </w:p>
        </w:tc>
        <w:tc>
          <w:tcPr>
            <w:tcW w:type="dxa" w:w="10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Files.ReadWrite</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Delegated</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Access user OneDrive for document promotion to iManage</w:t>
            </w:r>
          </w:p>
        </w:tc>
        <w:tc>
          <w:tcPr>
            <w:tcW w:type="dxa" w:w="61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Files.Read if import-only workflow</w:t>
            </w:r>
          </w:p>
        </w:tc>
      </w:tr>
      <w:tr>
        <w:tc>
          <w:tcPr>
            <w:tcW w:type="dxa" w:w="1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Calendar Integration</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Exchange Online</w:t>
            </w:r>
          </w:p>
        </w:tc>
        <w:tc>
          <w:tcPr>
            <w:tcW w:type="dxa" w:w="1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/me/events, /me/calendarView</w:t>
            </w:r>
          </w:p>
        </w:tc>
        <w:tc>
          <w:tcPr>
            <w:tcW w:type="dxa" w:w="105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Calendars.Read</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Delegated</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Read calendar events for matter/engagement association in iManage</w:t>
            </w:r>
          </w:p>
        </w:tc>
        <w:tc>
          <w:tcPr>
            <w:tcW w:type="dxa" w:w="61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1E8449"/>
                <w:sz w:val="17"/>
                <w:szCs w:val="17"/>
              </w:rPr>
              <w:t xml:space="preserve">LOW</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Calendars.Read (no write required)</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Search Integration</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Search / Graph</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/search/query</w:t>
            </w:r>
          </w:p>
        </w:tc>
        <w:tc>
          <w:tcPr>
            <w:tcW w:type="dxa" w:w="10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Mail.Read, Files.Read, Sites.Read.All</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Application</w:t>
            </w:r>
          </w:p>
        </w:tc>
        <w:tc>
          <w:tcPr>
            <w:tcW w:type="dxa" w:w="9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Yes</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Enable federated search across iManage content from Microsoft Search</w:t>
            </w:r>
          </w:p>
        </w:tc>
        <w:tc>
          <w:tcPr>
            <w:tcW w:type="dxa" w:w="61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Scope to minimum content types required</w:t>
            </w:r>
          </w:p>
        </w:tc>
      </w:tr>
      <w:tr>
        <w:tc>
          <w:tcPr>
            <w:tcW w:type="dxa" w:w="1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User Synchronization</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Entra ID</w:t>
            </w:r>
          </w:p>
        </w:tc>
        <w:tc>
          <w:tcPr>
            <w:tcW w:type="dxa" w:w="1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/users, /groups, /groups/{id}/members</w:t>
            </w:r>
          </w:p>
        </w:tc>
        <w:tc>
          <w:tcPr>
            <w:tcW w:type="dxa" w:w="105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User.Read.All, Group.Read.All</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Application</w:t>
            </w:r>
          </w:p>
        </w:tc>
        <w:tc>
          <w:tcPr>
            <w:tcW w:type="dxa" w:w="9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Yes</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Synchronize user and group directory data from Entra ID to iManage</w:t>
            </w:r>
          </w:p>
        </w:tc>
        <w:tc>
          <w:tcPr>
            <w:tcW w:type="dxa" w:w="61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Directory.Read.All is excessive; prefer User.Read.All + Group.Read.All</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User Profile (SSO context)</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Entra ID</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/me</w:t>
            </w:r>
          </w:p>
        </w:tc>
        <w:tc>
          <w:tcPr>
            <w:tcW w:type="dxa" w:w="105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User.Read, openid, profile, email</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Delegated</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Read authenticated user's profile during SSO session establishment</w:t>
            </w:r>
          </w:p>
        </w:tc>
        <w:tc>
          <w:tcPr>
            <w:tcW w:type="dxa" w:w="61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1E8449"/>
                <w:sz w:val="17"/>
                <w:szCs w:val="17"/>
              </w:rPr>
              <w:t xml:space="preserve">LOW</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Minimum required; always needed</w:t>
            </w:r>
          </w:p>
        </w:tc>
      </w:tr>
      <w:tr>
        <w:tc>
          <w:tcPr>
            <w:tcW w:type="dxa" w:w="1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Offline/Background Access</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Token Services</w:t>
            </w:r>
          </w:p>
        </w:tc>
        <w:tc>
          <w:tcPr>
            <w:tcW w:type="dxa" w:w="1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Token refresh</w:t>
            </w:r>
          </w:p>
        </w:tc>
        <w:tc>
          <w:tcPr>
            <w:tcW w:type="dxa" w:w="105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offline_access</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Delegated</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No</w:t>
            </w:r>
          </w:p>
        </w:tc>
        <w:tc>
          <w:tcPr>
            <w:tcW w:type="dxa" w:w="11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Maintain API access when user is not actively authenticated</w:t>
            </w:r>
          </w:p>
        </w:tc>
        <w:tc>
          <w:tcPr>
            <w:tcW w:type="dxa" w:w="61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Evaluate whether background refresh is required; limit scope where possible</w:t>
            </w:r>
          </w:p>
        </w:tc>
      </w:tr>
    </w:tbl>
    <w:p>
      <w:pPr>
        <w:pStyle w:val="Heading2"/>
        <w:spacing w:after="80" w:before="240"/>
      </w:pPr>
      <w:r>
        <w:rPr>
          <w:rFonts w:ascii="Arial" w:cs="Arial" w:eastAsia="Arial" w:hAnsi="Arial"/>
          <w:b/>
          <w:bCs/>
          <w:color w:val="2E75B6"/>
          <w:sz w:val="28"/>
          <w:szCs w:val="28"/>
        </w:rPr>
        <w:t xml:space="preserve">4.3 Permission Scope Validation</w:t>
      </w:r>
    </w:p>
    <w:p>
      <w:pPr>
        <w:pStyle w:val="Heading3"/>
        <w:spacing w:after="60" w:before="160"/>
      </w:pPr>
      <w:r>
        <w:rPr>
          <w:rFonts w:ascii="Arial" w:cs="Arial" w:eastAsia="Arial" w:hAnsi="Arial"/>
          <w:b/>
          <w:bCs/>
          <w:color w:val="1F3864"/>
          <w:sz w:val="24"/>
          <w:szCs w:val="24"/>
        </w:rPr>
        <w:t xml:space="preserve">4.3.1 Confirmed Required Scopes</w:t>
      </w:r>
    </w:p>
    <w:p>
      <w:pPr>
        <w:pStyle w:val="ListParagraph"/>
        <w:numPr>
          <w:ilvl w:val="0"/>
          <w:numId w:val="2"/>
        </w:numPr>
        <w:spacing w:after="40" w:before="40"/>
      </w:pPr>
      <w:r>
        <w:rPr>
          <w:rFonts w:ascii="Arial" w:cs="Arial" w:eastAsia="Arial" w:hAnsi="Arial"/>
          <w:sz w:val="20"/>
          <w:szCs w:val="20"/>
        </w:rPr>
        <w:t xml:space="preserve">openid – Required for OIDC-based token flows; standard SAML/OAuth integration</w:t>
      </w:r>
    </w:p>
    <w:p>
      <w:pPr>
        <w:pStyle w:val="ListParagraph"/>
        <w:numPr>
          <w:ilvl w:val="0"/>
          <w:numId w:val="2"/>
        </w:numPr>
        <w:spacing w:after="40" w:before="40"/>
      </w:pPr>
      <w:r>
        <w:rPr>
          <w:rFonts w:ascii="Arial" w:cs="Arial" w:eastAsia="Arial" w:hAnsi="Arial"/>
          <w:sz w:val="20"/>
          <w:szCs w:val="20"/>
        </w:rPr>
        <w:t xml:space="preserve">profile – Required to include user profile claims in token</w:t>
      </w:r>
    </w:p>
    <w:p>
      <w:pPr>
        <w:pStyle w:val="ListParagraph"/>
        <w:numPr>
          <w:ilvl w:val="0"/>
          <w:numId w:val="2"/>
        </w:numPr>
        <w:spacing w:after="40" w:before="40"/>
      </w:pPr>
      <w:r>
        <w:rPr>
          <w:rFonts w:ascii="Arial" w:cs="Arial" w:eastAsia="Arial" w:hAnsi="Arial"/>
          <w:sz w:val="20"/>
          <w:szCs w:val="20"/>
        </w:rPr>
        <w:t xml:space="preserve">email – Required to include email address claim in token</w:t>
      </w:r>
    </w:p>
    <w:p>
      <w:pPr>
        <w:pStyle w:val="ListParagraph"/>
        <w:numPr>
          <w:ilvl w:val="0"/>
          <w:numId w:val="2"/>
        </w:numPr>
        <w:spacing w:after="40" w:before="40"/>
      </w:pPr>
      <w:r>
        <w:rPr>
          <w:rFonts w:ascii="Arial" w:cs="Arial" w:eastAsia="Arial" w:hAnsi="Arial"/>
          <w:sz w:val="20"/>
          <w:szCs w:val="20"/>
        </w:rPr>
        <w:t xml:space="preserve">User.Read – Required for reading the authenticated user's profile</w:t>
      </w:r>
    </w:p>
    <w:p>
      <w:pPr>
        <w:pStyle w:val="ListParagraph"/>
        <w:numPr>
          <w:ilvl w:val="0"/>
          <w:numId w:val="2"/>
        </w:numPr>
        <w:spacing w:after="40" w:before="40"/>
      </w:pPr>
      <w:r>
        <w:rPr>
          <w:rFonts w:ascii="Arial" w:cs="Arial" w:eastAsia="Arial" w:hAnsi="Arial"/>
          <w:sz w:val="20"/>
          <w:szCs w:val="20"/>
        </w:rPr>
        <w:t xml:space="preserve">Mail.ReadWrite – Required for Outlook email filing and save-to-iManage features; HIGH risk scope</w:t>
      </w:r>
    </w:p>
    <w:p>
      <w:pPr>
        <w:pStyle w:val="ListParagraph"/>
        <w:numPr>
          <w:ilvl w:val="0"/>
          <w:numId w:val="2"/>
        </w:numPr>
        <w:spacing w:after="40" w:before="40"/>
      </w:pPr>
      <w:r>
        <w:rPr>
          <w:rFonts w:ascii="Arial" w:cs="Arial" w:eastAsia="Arial" w:hAnsi="Arial"/>
          <w:sz w:val="20"/>
          <w:szCs w:val="20"/>
        </w:rPr>
        <w:t xml:space="preserve">Calendars.Read – Required for calendar integration and meeting filing; LOW risk</w:t>
      </w:r>
    </w:p>
    <w:p>
      <w:pPr>
        <w:pStyle w:val="ListParagraph"/>
        <w:numPr>
          <w:ilvl w:val="0"/>
          <w:numId w:val="2"/>
        </w:numPr>
        <w:spacing w:after="40" w:before="40"/>
      </w:pPr>
      <w:r>
        <w:rPr>
          <w:rFonts w:ascii="Arial" w:cs="Arial" w:eastAsia="Arial" w:hAnsi="Arial"/>
          <w:sz w:val="20"/>
          <w:szCs w:val="20"/>
        </w:rPr>
        <w:t xml:space="preserve">Files.ReadWrite – Required for document co-authoring via OneDrive/SharePoint</w:t>
      </w:r>
    </w:p>
    <w:p>
      <w:pPr>
        <w:pStyle w:val="ListParagraph"/>
        <w:numPr>
          <w:ilvl w:val="0"/>
          <w:numId w:val="2"/>
        </w:numPr>
        <w:spacing w:after="40" w:before="40"/>
      </w:pPr>
      <w:r>
        <w:rPr>
          <w:rFonts w:ascii="Arial" w:cs="Arial" w:eastAsia="Arial" w:hAnsi="Arial"/>
          <w:sz w:val="20"/>
          <w:szCs w:val="20"/>
        </w:rPr>
        <w:t xml:space="preserve">ChannelMessage.Read.All – Required for Teams conversation filing; APPLICATION permission requires admin consent and is HIGH risk</w:t>
      </w:r>
    </w:p>
    <w:p>
      <w:pPr>
        <w:pStyle w:val="ListParagraph"/>
        <w:numPr>
          <w:ilvl w:val="0"/>
          <w:numId w:val="2"/>
        </w:numPr>
        <w:spacing w:after="40" w:before="40"/>
      </w:pPr>
      <w:r>
        <w:rPr>
          <w:rFonts w:ascii="Arial" w:cs="Arial" w:eastAsia="Arial" w:hAnsi="Arial"/>
          <w:sz w:val="20"/>
          <w:szCs w:val="20"/>
        </w:rPr>
        <w:t xml:space="preserve">Team.ReadBasic.All – Required for Teams channel browsing in iManage</w:t>
      </w:r>
    </w:p>
    <w:p>
      <w:pPr>
        <w:pStyle w:val="Heading3"/>
        <w:spacing w:after="60" w:before="160"/>
      </w:pPr>
      <w:r>
        <w:rPr>
          <w:rFonts w:ascii="Arial" w:cs="Arial" w:eastAsia="Arial" w:hAnsi="Arial"/>
          <w:b/>
          <w:bCs/>
          <w:color w:val="1F3864"/>
          <w:sz w:val="24"/>
          <w:szCs w:val="24"/>
        </w:rPr>
        <w:t xml:space="preserve">4.3.2 Scopes Requiring Vendor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C4" w:val="clear"/>
            <w:tcMar>
              <w:top w:type="dxa" w:w="80"/>
              <w:left w:type="dxa" w:w="120"/>
              <w:bottom w:type="dxa" w:w="80"/>
              <w:right w:type="dxa" w:w="120"/>
            </w:tcMar>
          </w:tcPr>
          <w:p>
            <w:r>
              <w:rPr>
                <w:rFonts w:ascii="Arial" w:cs="Arial" w:eastAsia="Arial" w:hAnsi="Arial"/>
                <w:b/>
                <w:bCs/>
                <w:color w:val="1F3864"/>
                <w:sz w:val="18"/>
                <w:szCs w:val="18"/>
              </w:rPr>
              <w:t xml:space="preserve">⚑ VENDOR: </w:t>
            </w:r>
            <w:r>
              <w:rPr>
                <w:rFonts w:ascii="Arial" w:cs="Arial" w:eastAsia="Arial" w:hAnsi="Arial"/>
                <w:sz w:val="18"/>
                <w:szCs w:val="18"/>
              </w:rPr>
              <w:t xml:space="preserve">The following scopes appeared in third-party technical discussions or iManage partner documentation but have not been confirmed in official iManage published documentation. These must be validated with iManage before granting.</w:t>
            </w:r>
          </w:p>
        </w:tc>
      </w:tr>
    </w:tbl>
    <w:p>
      <w:pPr>
        <w:pStyle w:val="ListParagraph"/>
        <w:numPr>
          <w:ilvl w:val="0"/>
          <w:numId w:val="2"/>
        </w:numPr>
        <w:spacing w:after="40" w:before="40"/>
      </w:pPr>
      <w:r>
        <w:rPr>
          <w:rFonts w:ascii="Arial" w:cs="Arial" w:eastAsia="Arial" w:hAnsi="Arial"/>
          <w:sz w:val="20"/>
          <w:szCs w:val="20"/>
        </w:rPr>
        <w:t xml:space="preserve">offline_access – Likely required for background API refresh; confirm whether iManage background services require this</w:t>
      </w:r>
    </w:p>
    <w:p>
      <w:pPr>
        <w:pStyle w:val="ListParagraph"/>
        <w:numPr>
          <w:ilvl w:val="0"/>
          <w:numId w:val="2"/>
        </w:numPr>
        <w:spacing w:after="40" w:before="40"/>
      </w:pPr>
      <w:r>
        <w:rPr>
          <w:rFonts w:ascii="Arial" w:cs="Arial" w:eastAsia="Arial" w:hAnsi="Arial"/>
          <w:sz w:val="20"/>
          <w:szCs w:val="20"/>
        </w:rPr>
        <w:t xml:space="preserve">Sites.ReadWrite.All – Broad scope; confirm whether read-only (Sites.Read.All) is sufficient for the SharePoint integration workflow</w:t>
      </w:r>
    </w:p>
    <w:p>
      <w:pPr>
        <w:pStyle w:val="ListParagraph"/>
        <w:numPr>
          <w:ilvl w:val="0"/>
          <w:numId w:val="2"/>
        </w:numPr>
        <w:spacing w:after="40" w:before="40"/>
      </w:pPr>
      <w:r>
        <w:rPr>
          <w:rFonts w:ascii="Arial" w:cs="Arial" w:eastAsia="Arial" w:hAnsi="Arial"/>
          <w:sz w:val="20"/>
          <w:szCs w:val="20"/>
        </w:rPr>
        <w:t xml:space="preserve">Mail.Send – Not expected to be required; confirm whether iManage ever sends email on behalf of the user via Graph</w:t>
      </w:r>
    </w:p>
    <w:p>
      <w:pPr>
        <w:pStyle w:val="ListParagraph"/>
        <w:numPr>
          <w:ilvl w:val="0"/>
          <w:numId w:val="2"/>
        </w:numPr>
        <w:spacing w:after="40" w:before="40"/>
      </w:pPr>
      <w:r>
        <w:rPr>
          <w:rFonts w:ascii="Arial" w:cs="Arial" w:eastAsia="Arial" w:hAnsi="Arial"/>
          <w:sz w:val="20"/>
          <w:szCs w:val="20"/>
        </w:rPr>
        <w:t xml:space="preserve">Group.Read.All – Broader than Team.ReadBasic.All; confirm whether this is needed or can be replaced</w:t>
      </w:r>
    </w:p>
    <w:p>
      <w:pPr>
        <w:pStyle w:val="ListParagraph"/>
        <w:numPr>
          <w:ilvl w:val="0"/>
          <w:numId w:val="2"/>
        </w:numPr>
        <w:spacing w:after="40" w:before="40"/>
      </w:pPr>
      <w:r>
        <w:rPr>
          <w:rFonts w:ascii="Arial" w:cs="Arial" w:eastAsia="Arial" w:hAnsi="Arial"/>
          <w:sz w:val="20"/>
          <w:szCs w:val="20"/>
        </w:rPr>
        <w:t xml:space="preserve">Files.ReadWrite.All – Tenant-wide file access; confirm whether this is required or can be scoped to specific drives</w:t>
      </w:r>
    </w:p>
    <w:p>
      <w:pPr>
        <w:pStyle w:val="ListParagraph"/>
        <w:numPr>
          <w:ilvl w:val="0"/>
          <w:numId w:val="2"/>
        </w:numPr>
        <w:spacing w:after="40" w:before="40"/>
      </w:pPr>
      <w:r>
        <w:rPr>
          <w:rFonts w:ascii="Arial" w:cs="Arial" w:eastAsia="Arial" w:hAnsi="Arial"/>
          <w:sz w:val="20"/>
          <w:szCs w:val="20"/>
        </w:rPr>
        <w:t xml:space="preserve">User.Read.All – Needed for user sync; confirm whether this is application-level only or also delegated</w:t>
      </w:r>
    </w:p>
    <w:p>
      <w:pPr>
        <w:pStyle w:val="Heading3"/>
        <w:spacing w:after="60" w:before="160"/>
      </w:pPr>
      <w:r>
        <w:rPr>
          <w:rFonts w:ascii="Arial" w:cs="Arial" w:eastAsia="Arial" w:hAnsi="Arial"/>
          <w:b/>
          <w:bCs/>
          <w:color w:val="1F3864"/>
          <w:sz w:val="24"/>
          <w:szCs w:val="24"/>
        </w:rPr>
        <w:t xml:space="preserve">4.3.3 Scopes Assessed as NOT Required</w:t>
      </w:r>
    </w:p>
    <w:p>
      <w:pPr>
        <w:pStyle w:val="ListParagraph"/>
        <w:numPr>
          <w:ilvl w:val="0"/>
          <w:numId w:val="2"/>
        </w:numPr>
        <w:spacing w:after="40" w:before="40"/>
      </w:pPr>
      <w:r>
        <w:rPr>
          <w:rFonts w:ascii="Arial" w:cs="Arial" w:eastAsia="Arial" w:hAnsi="Arial"/>
          <w:sz w:val="20"/>
          <w:szCs w:val="20"/>
        </w:rPr>
        <w:t xml:space="preserve">Mail.Send – iManage is a DMS not an email sender; this permission should NOT be granted</w:t>
      </w:r>
    </w:p>
    <w:p>
      <w:pPr>
        <w:pStyle w:val="ListParagraph"/>
        <w:numPr>
          <w:ilvl w:val="0"/>
          <w:numId w:val="2"/>
        </w:numPr>
        <w:spacing w:after="40" w:before="40"/>
      </w:pPr>
      <w:r>
        <w:rPr>
          <w:rFonts w:ascii="Arial" w:cs="Arial" w:eastAsia="Arial" w:hAnsi="Arial"/>
          <w:sz w:val="20"/>
          <w:szCs w:val="20"/>
        </w:rPr>
        <w:t xml:space="preserve">Sites.ReadWrite.All (Application) – Application-level write to all SharePoint sites represents extreme risk; reject unless iManage provides documented justification</w:t>
      </w:r>
    </w:p>
    <w:p>
      <w:pPr>
        <w:pStyle w:val="ListParagraph"/>
        <w:numPr>
          <w:ilvl w:val="0"/>
          <w:numId w:val="2"/>
        </w:numPr>
        <w:spacing w:after="40" w:before="40"/>
      </w:pPr>
      <w:r>
        <w:rPr>
          <w:rFonts w:ascii="Arial" w:cs="Arial" w:eastAsia="Arial" w:hAnsi="Arial"/>
          <w:sz w:val="20"/>
          <w:szCs w:val="20"/>
        </w:rPr>
        <w:t xml:space="preserve">Files.ReadWrite.All (Application) – Tenant-wide file write at application level is excessive; request scoped alternatives</w:t>
      </w:r>
    </w:p>
    <w:p>
      <w:r>
        <w:br w:type="page"/>
      </w:r>
    </w:p>
    <w:p>
      <w:pPr>
        <w:pStyle w:val="Heading1"/>
        <w:spacing w:after="120" w:before="360"/>
      </w:pPr>
      <w:r>
        <w:rPr>
          <w:rFonts w:ascii="Arial" w:cs="Arial" w:eastAsia="Arial" w:hAnsi="Arial"/>
          <w:b/>
          <w:bCs/>
          <w:color w:val="1F3864"/>
          <w:sz w:val="36"/>
          <w:szCs w:val="36"/>
        </w:rPr>
        <w:t xml:space="preserve">5. Environment Strategy</w:t>
      </w:r>
    </w:p>
    <w:p>
      <w:pPr>
        <w:pBdr>
          <w:bottom w:val="single" w:color="2E75B6" w:sz="8" w:space="1"/>
        </w:pBdr>
        <w:spacing w:after="120" w:before="120"/>
      </w:pPr>
    </w:p>
    <w:p>
      <w:pPr>
        <w:pStyle w:val="Heading2"/>
        <w:spacing w:after="80" w:before="240"/>
      </w:pPr>
      <w:r>
        <w:rPr>
          <w:rFonts w:ascii="Arial" w:cs="Arial" w:eastAsia="Arial" w:hAnsi="Arial"/>
          <w:b/>
          <w:bCs/>
          <w:color w:val="2E75B6"/>
          <w:sz w:val="28"/>
          <w:szCs w:val="28"/>
        </w:rPr>
        <w:t xml:space="preserve">5.1 Prerequisites Before Dev Onboarding</w:t>
      </w:r>
    </w:p>
    <w:p>
      <w:pPr>
        <w:spacing w:after="60" w:before="60"/>
      </w:pPr>
      <w:r>
        <w:rPr>
          <w:rFonts w:ascii="Arial" w:cs="Arial" w:eastAsia="Arial" w:hAnsi="Arial"/>
          <w:sz w:val="20"/>
          <w:szCs w:val="20"/>
        </w:rPr>
        <w:t xml:space="preserve">The following prerequisites must be satisfied before the Development environment can be onboarded. Each item must have a confirmed owner and completion date before the kickoff meeting with iManage.</w:t>
      </w:r>
    </w:p>
    <w:p>
      <w:pPr>
        <w:pStyle w:val="Heading3"/>
        <w:spacing w:after="60" w:before="160"/>
      </w:pPr>
      <w:r>
        <w:rPr>
          <w:rFonts w:ascii="Arial" w:cs="Arial" w:eastAsia="Arial" w:hAnsi="Arial"/>
          <w:b/>
          <w:bCs/>
          <w:color w:val="1F3864"/>
          <w:sz w:val="24"/>
          <w:szCs w:val="24"/>
        </w:rPr>
        <w:t xml:space="preserve">5.1.1 Information Required from iManage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c>
          <w:tcPr>
            <w:tcW w:type="dxa" w:w="39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 Information</w:t>
            </w:r>
          </w:p>
        </w:tc>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312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iManage Work Cloud Dev tenant URL and ACS endpoint</w:t>
            </w:r>
          </w:p>
        </w:tc>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TAM</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SAML SP configuration in Entra ID</w:t>
            </w:r>
          </w:p>
        </w:tc>
      </w:tr>
      <w:tr>
        <w:tc>
          <w:tcPr>
            <w:tcW w:type="dxa" w:w="3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iManage SP Entity ID (Issuer)</w:t>
            </w:r>
          </w:p>
        </w:tc>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TAM</w:t>
            </w:r>
          </w:p>
        </w:tc>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SAML SP configuration in Entra ID</w:t>
            </w:r>
          </w:p>
        </w:tc>
      </w:tr>
      <w:tr>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iManage SP Metadata XML</w:t>
            </w:r>
          </w:p>
        </w:tc>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TAM</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Automated SAML configuration</w:t>
            </w:r>
          </w:p>
        </w:tc>
      </w:tr>
      <w:tr>
        <w:tc>
          <w:tcPr>
            <w:tcW w:type="dxa" w:w="3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SCIM 2.0 endpoint URL and bearer token (if supported)</w:t>
            </w:r>
          </w:p>
        </w:tc>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TAM</w:t>
            </w:r>
          </w:p>
        </w:tc>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Automated user provisioning from Entra ID</w:t>
            </w:r>
          </w:p>
        </w:tc>
      </w:tr>
      <w:tr>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Microsoft Graph application permission requirements (complete list)</w:t>
            </w:r>
          </w:p>
        </w:tc>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TAM</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Permission scoping and admin consent</w:t>
            </w:r>
          </w:p>
        </w:tc>
      </w:tr>
      <w:tr>
        <w:tc>
          <w:tcPr>
            <w:tcW w:type="dxa" w:w="3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Azure App Registration Client ID and required redirect URIs</w:t>
            </w:r>
          </w:p>
        </w:tc>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TAM</w:t>
            </w:r>
          </w:p>
        </w:tc>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Entra ID app registration</w:t>
            </w:r>
          </w:p>
        </w:tc>
      </w:tr>
      <w:tr>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Data residency region confirmation (Canada Central / US East)</w:t>
            </w:r>
          </w:p>
        </w:tc>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TAM</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Compliance validation</w:t>
            </w:r>
          </w:p>
        </w:tc>
      </w:tr>
      <w:tr>
        <w:tc>
          <w:tcPr>
            <w:tcW w:type="dxa" w:w="3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iManage Work for Outlook add-in manifest URL (Dev environment)</w:t>
            </w:r>
          </w:p>
        </w:tc>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TAM</w:t>
            </w:r>
          </w:p>
        </w:tc>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Outlook add-in deployment via Intune/M365 admin</w:t>
            </w:r>
          </w:p>
        </w:tc>
      </w:tr>
      <w:tr>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iManage for Teams app manifest (Dev environment)</w:t>
            </w:r>
          </w:p>
        </w:tc>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TAM</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Teams app deployment via Teams admin center</w:t>
            </w:r>
          </w:p>
        </w:tc>
      </w:tr>
      <w:tr>
        <w:tc>
          <w:tcPr>
            <w:tcW w:type="dxa" w:w="3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Conditional Access compatibility matrix (supported policies)</w:t>
            </w:r>
          </w:p>
        </w:tc>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TAM</w:t>
            </w:r>
          </w:p>
        </w:tc>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CA policy design</w:t>
            </w:r>
          </w:p>
        </w:tc>
      </w:tr>
      <w:tr>
        <w:tc>
          <w:tcPr>
            <w:tcW w:type="dxa" w:w="3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MAM/Intune SDK version in iOS and Android applications</w:t>
            </w:r>
          </w:p>
        </w:tc>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TAM</w:t>
            </w:r>
          </w:p>
        </w:tc>
        <w:tc>
          <w:tcPr>
            <w:tcW w:type="dxa" w:w="31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App Protection Policy design</w:t>
            </w:r>
          </w:p>
        </w:tc>
      </w:tr>
      <w:tr>
        <w:tc>
          <w:tcPr>
            <w:tcW w:type="dxa" w:w="3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000000"/>
                <w:sz w:val="17"/>
                <w:szCs w:val="17"/>
              </w:rPr>
              <w:t xml:space="preserve">Audit log format specification and SIEM integration guide</w:t>
            </w:r>
          </w:p>
        </w:tc>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TAM</w:t>
            </w:r>
          </w:p>
        </w:tc>
        <w:tc>
          <w:tcPr>
            <w:tcW w:type="dxa" w:w="312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SIEM connector configuration</w:t>
            </w:r>
          </w:p>
        </w:tc>
      </w:tr>
    </w:tbl>
    <w:p>
      <w:pPr>
        <w:pStyle w:val="Heading3"/>
        <w:spacing w:after="60" w:before="160"/>
      </w:pPr>
      <w:r>
        <w:rPr>
          <w:rFonts w:ascii="Arial" w:cs="Arial" w:eastAsia="Arial" w:hAnsi="Arial"/>
          <w:b/>
          <w:bCs/>
          <w:color w:val="1F3864"/>
          <w:sz w:val="24"/>
          <w:szCs w:val="24"/>
        </w:rPr>
        <w:t xml:space="preserve">5.1.2 Information Required from Cloud Engineering</w:t>
      </w:r>
    </w:p>
    <w:p>
      <w:pPr>
        <w:pStyle w:val="ListParagraph"/>
        <w:numPr>
          <w:ilvl w:val="0"/>
          <w:numId w:val="2"/>
        </w:numPr>
        <w:spacing w:after="40" w:before="40"/>
      </w:pPr>
      <w:r>
        <w:rPr>
          <w:rFonts w:ascii="Arial" w:cs="Arial" w:eastAsia="Arial" w:hAnsi="Arial"/>
          <w:sz w:val="20"/>
          <w:szCs w:val="20"/>
        </w:rPr>
        <w:t xml:space="preserve">Entra ID tenant ID (Dev, Test, Production – confirm whether separate tenants or separate app registrations in the same tenant)</w:t>
      </w:r>
    </w:p>
    <w:p>
      <w:pPr>
        <w:pStyle w:val="ListParagraph"/>
        <w:numPr>
          <w:ilvl w:val="0"/>
          <w:numId w:val="2"/>
        </w:numPr>
        <w:spacing w:after="40" w:before="40"/>
      </w:pPr>
      <w:r>
        <w:rPr>
          <w:rFonts w:ascii="Arial" w:cs="Arial" w:eastAsia="Arial" w:hAnsi="Arial"/>
          <w:sz w:val="20"/>
          <w:szCs w:val="20"/>
        </w:rPr>
        <w:t xml:space="preserve">Confirmation of M365 E5 licensing availability in Dev environment</w:t>
      </w:r>
    </w:p>
    <w:p>
      <w:pPr>
        <w:pStyle w:val="ListParagraph"/>
        <w:numPr>
          <w:ilvl w:val="0"/>
          <w:numId w:val="2"/>
        </w:numPr>
        <w:spacing w:after="40" w:before="40"/>
      </w:pPr>
      <w:r>
        <w:rPr>
          <w:rFonts w:ascii="Arial" w:cs="Arial" w:eastAsia="Arial" w:hAnsi="Arial"/>
          <w:sz w:val="20"/>
          <w:szCs w:val="20"/>
        </w:rPr>
        <w:t xml:space="preserve">Conditional Access policy baseline applicable to SaaS applications in Dev environment</w:t>
      </w:r>
    </w:p>
    <w:p>
      <w:pPr>
        <w:pStyle w:val="ListParagraph"/>
        <w:numPr>
          <w:ilvl w:val="0"/>
          <w:numId w:val="2"/>
        </w:numPr>
        <w:spacing w:after="40" w:before="40"/>
      </w:pPr>
      <w:r>
        <w:rPr>
          <w:rFonts w:ascii="Arial" w:cs="Arial" w:eastAsia="Arial" w:hAnsi="Arial"/>
          <w:sz w:val="20"/>
          <w:szCs w:val="20"/>
        </w:rPr>
        <w:t xml:space="preserve">Network egress IP ranges for Dev environment (required for iManage IP allowlisting if applicable)</w:t>
      </w:r>
    </w:p>
    <w:p>
      <w:pPr>
        <w:pStyle w:val="ListParagraph"/>
        <w:numPr>
          <w:ilvl w:val="0"/>
          <w:numId w:val="2"/>
        </w:numPr>
        <w:spacing w:after="40" w:before="40"/>
      </w:pPr>
      <w:r>
        <w:rPr>
          <w:rFonts w:ascii="Arial" w:cs="Arial" w:eastAsia="Arial" w:hAnsi="Arial"/>
          <w:sz w:val="20"/>
          <w:szCs w:val="20"/>
        </w:rPr>
        <w:t xml:space="preserve">Microsoft Defender for Cloud Apps connector availability and sanctioned app approval process</w:t>
      </w:r>
    </w:p>
    <w:p>
      <w:pPr>
        <w:pStyle w:val="Heading3"/>
        <w:spacing w:after="60" w:before="160"/>
      </w:pPr>
      <w:r>
        <w:rPr>
          <w:rFonts w:ascii="Arial" w:cs="Arial" w:eastAsia="Arial" w:hAnsi="Arial"/>
          <w:b/>
          <w:bCs/>
          <w:color w:val="1F3864"/>
          <w:sz w:val="24"/>
          <w:szCs w:val="24"/>
        </w:rPr>
        <w:t xml:space="preserve">5.1.3 Information Required from IAM</w:t>
      </w:r>
    </w:p>
    <w:p>
      <w:pPr>
        <w:pStyle w:val="ListParagraph"/>
        <w:numPr>
          <w:ilvl w:val="0"/>
          <w:numId w:val="2"/>
        </w:numPr>
        <w:spacing w:after="40" w:before="40"/>
      </w:pPr>
      <w:r>
        <w:rPr>
          <w:rFonts w:ascii="Arial" w:cs="Arial" w:eastAsia="Arial" w:hAnsi="Arial"/>
          <w:sz w:val="20"/>
          <w:szCs w:val="20"/>
        </w:rPr>
        <w:t xml:space="preserve">Entra ID user and group structure to be used for iManage access (existing groups vs new groups)</w:t>
      </w:r>
    </w:p>
    <w:p>
      <w:pPr>
        <w:pStyle w:val="ListParagraph"/>
        <w:numPr>
          <w:ilvl w:val="0"/>
          <w:numId w:val="2"/>
        </w:numPr>
        <w:spacing w:after="40" w:before="40"/>
      </w:pPr>
      <w:r>
        <w:rPr>
          <w:rFonts w:ascii="Arial" w:cs="Arial" w:eastAsia="Arial" w:hAnsi="Arial"/>
          <w:sz w:val="20"/>
          <w:szCs w:val="20"/>
        </w:rPr>
        <w:t xml:space="preserve">Break-glass account naming convention and PAM vault location</w:t>
      </w:r>
    </w:p>
    <w:p>
      <w:pPr>
        <w:pStyle w:val="ListParagraph"/>
        <w:numPr>
          <w:ilvl w:val="0"/>
          <w:numId w:val="2"/>
        </w:numPr>
        <w:spacing w:after="40" w:before="40"/>
      </w:pPr>
      <w:r>
        <w:rPr>
          <w:rFonts w:ascii="Arial" w:cs="Arial" w:eastAsia="Arial" w:hAnsi="Arial"/>
          <w:sz w:val="20"/>
          <w:szCs w:val="20"/>
        </w:rPr>
        <w:t xml:space="preserve">Privileged Identity Management (PIM) configuration for iManage admin roles (if applicable)</w:t>
      </w:r>
    </w:p>
    <w:p>
      <w:pPr>
        <w:pStyle w:val="ListParagraph"/>
        <w:numPr>
          <w:ilvl w:val="0"/>
          <w:numId w:val="2"/>
        </w:numPr>
        <w:spacing w:after="40" w:before="40"/>
      </w:pPr>
      <w:r>
        <w:rPr>
          <w:rFonts w:ascii="Arial" w:cs="Arial" w:eastAsia="Arial" w:hAnsi="Arial"/>
          <w:sz w:val="20"/>
          <w:szCs w:val="20"/>
        </w:rPr>
        <w:t xml:space="preserve">Certificate management system registration process for SAML signing certificate</w:t>
      </w:r>
    </w:p>
    <w:p>
      <w:pPr>
        <w:pStyle w:val="ListParagraph"/>
        <w:numPr>
          <w:ilvl w:val="0"/>
          <w:numId w:val="2"/>
        </w:numPr>
        <w:spacing w:after="40" w:before="40"/>
      </w:pPr>
      <w:r>
        <w:rPr>
          <w:rFonts w:ascii="Arial" w:cs="Arial" w:eastAsia="Arial" w:hAnsi="Arial"/>
          <w:sz w:val="20"/>
          <w:szCs w:val="20"/>
        </w:rPr>
        <w:t xml:space="preserve">Existing SCIM provisioning patterns (if SCIM supported by iManage)</w:t>
      </w:r>
    </w:p>
    <w:p>
      <w:pPr>
        <w:pStyle w:val="Heading3"/>
        <w:spacing w:after="60" w:before="160"/>
      </w:pPr>
      <w:r>
        <w:rPr>
          <w:rFonts w:ascii="Arial" w:cs="Arial" w:eastAsia="Arial" w:hAnsi="Arial"/>
          <w:b/>
          <w:bCs/>
          <w:color w:val="1F3864"/>
          <w:sz w:val="24"/>
          <w:szCs w:val="24"/>
        </w:rPr>
        <w:t xml:space="preserve">5.1.4 Information Required from Security</w:t>
      </w:r>
    </w:p>
    <w:p>
      <w:pPr>
        <w:pStyle w:val="ListParagraph"/>
        <w:numPr>
          <w:ilvl w:val="0"/>
          <w:numId w:val="2"/>
        </w:numPr>
        <w:spacing w:after="40" w:before="40"/>
      </w:pPr>
      <w:r>
        <w:rPr>
          <w:rFonts w:ascii="Arial" w:cs="Arial" w:eastAsia="Arial" w:hAnsi="Arial"/>
          <w:sz w:val="20"/>
          <w:szCs w:val="20"/>
        </w:rPr>
        <w:t xml:space="preserve">Data classification policy applicable to iManage-stored documents</w:t>
      </w:r>
    </w:p>
    <w:p>
      <w:pPr>
        <w:pStyle w:val="ListParagraph"/>
        <w:numPr>
          <w:ilvl w:val="0"/>
          <w:numId w:val="2"/>
        </w:numPr>
        <w:spacing w:after="40" w:before="40"/>
      </w:pPr>
      <w:r>
        <w:rPr>
          <w:rFonts w:ascii="Arial" w:cs="Arial" w:eastAsia="Arial" w:hAnsi="Arial"/>
          <w:sz w:val="20"/>
          <w:szCs w:val="20"/>
        </w:rPr>
        <w:t xml:space="preserve">DLP policy requirements for email filing and document export workflows</w:t>
      </w:r>
    </w:p>
    <w:p>
      <w:pPr>
        <w:pStyle w:val="ListParagraph"/>
        <w:numPr>
          <w:ilvl w:val="0"/>
          <w:numId w:val="2"/>
        </w:numPr>
        <w:spacing w:after="40" w:before="40"/>
      </w:pPr>
      <w:r>
        <w:rPr>
          <w:rFonts w:ascii="Arial" w:cs="Arial" w:eastAsia="Arial" w:hAnsi="Arial"/>
          <w:sz w:val="20"/>
          <w:szCs w:val="20"/>
        </w:rPr>
        <w:t xml:space="preserve">Insider risk program integration requirements (Microsoft Purview Insider Risk Management)</w:t>
      </w:r>
    </w:p>
    <w:p>
      <w:pPr>
        <w:pStyle w:val="ListParagraph"/>
        <w:numPr>
          <w:ilvl w:val="0"/>
          <w:numId w:val="2"/>
        </w:numPr>
        <w:spacing w:after="40" w:before="40"/>
      </w:pPr>
      <w:r>
        <w:rPr>
          <w:rFonts w:ascii="Arial" w:cs="Arial" w:eastAsia="Arial" w:hAnsi="Arial"/>
          <w:sz w:val="20"/>
          <w:szCs w:val="20"/>
        </w:rPr>
        <w:t xml:space="preserve">SIEM platform details (Sentinel workspace ID, log format requirements)</w:t>
      </w:r>
    </w:p>
    <w:p>
      <w:pPr>
        <w:pStyle w:val="ListParagraph"/>
        <w:numPr>
          <w:ilvl w:val="0"/>
          <w:numId w:val="2"/>
        </w:numPr>
        <w:spacing w:after="40" w:before="40"/>
      </w:pPr>
      <w:r>
        <w:rPr>
          <w:rFonts w:ascii="Arial" w:cs="Arial" w:eastAsia="Arial" w:hAnsi="Arial"/>
          <w:sz w:val="20"/>
          <w:szCs w:val="20"/>
        </w:rPr>
        <w:t xml:space="preserve">Penetration testing and vendor security assessment requirements before production go-live</w:t>
      </w:r>
    </w:p>
    <w:p>
      <w:pPr>
        <w:pStyle w:val="ListParagraph"/>
        <w:numPr>
          <w:ilvl w:val="0"/>
          <w:numId w:val="2"/>
        </w:numPr>
        <w:spacing w:after="40" w:before="40"/>
      </w:pPr>
      <w:r>
        <w:rPr>
          <w:rFonts w:ascii="Arial" w:cs="Arial" w:eastAsia="Arial" w:hAnsi="Arial"/>
          <w:sz w:val="20"/>
          <w:szCs w:val="20"/>
        </w:rPr>
        <w:t xml:space="preserve">Customer-Managed Key (CMK) requirement: mandatory or optional per data classification policy</w:t>
      </w:r>
    </w:p>
    <w:p>
      <w:pPr>
        <w:pStyle w:val="Heading2"/>
        <w:spacing w:after="80" w:before="240"/>
      </w:pPr>
      <w:r>
        <w:rPr>
          <w:rFonts w:ascii="Arial" w:cs="Arial" w:eastAsia="Arial" w:hAnsi="Arial"/>
          <w:b/>
          <w:bCs/>
          <w:color w:val="2E75B6"/>
          <w:sz w:val="28"/>
          <w:szCs w:val="28"/>
        </w:rPr>
        <w:t xml:space="preserve">5.2 Environment Onboarding Approach</w:t>
      </w:r>
    </w:p>
    <w:p>
      <w:pPr>
        <w:pStyle w:val="Heading3"/>
        <w:spacing w:after="60" w:before="160"/>
      </w:pPr>
      <w:r>
        <w:rPr>
          <w:rFonts w:ascii="Arial" w:cs="Arial" w:eastAsia="Arial" w:hAnsi="Arial"/>
          <w:b/>
          <w:bCs/>
          <w:color w:val="1F3864"/>
          <w:sz w:val="24"/>
          <w:szCs w:val="24"/>
        </w:rPr>
        <w:t xml:space="preserve">5.2.1 Development Environment</w:t>
      </w:r>
    </w:p>
    <w:p>
      <w:pPr>
        <w:pStyle w:val="ListParagraph"/>
        <w:numPr>
          <w:ilvl w:val="0"/>
          <w:numId w:val="2"/>
        </w:numPr>
        <w:spacing w:after="40" w:before="40"/>
      </w:pPr>
      <w:r>
        <w:rPr>
          <w:rFonts w:ascii="Arial" w:cs="Arial" w:eastAsia="Arial" w:hAnsi="Arial"/>
          <w:sz w:val="20"/>
          <w:szCs w:val="20"/>
        </w:rPr>
        <w:t xml:space="preserve">Objective: Validate SAML 2.0 integration, basic user provisioning (JIT), Outlook add-in, and Graph API permission requirements</w:t>
      </w:r>
    </w:p>
    <w:p>
      <w:pPr>
        <w:pStyle w:val="ListParagraph"/>
        <w:numPr>
          <w:ilvl w:val="0"/>
          <w:numId w:val="2"/>
        </w:numPr>
        <w:spacing w:after="40" w:before="40"/>
      </w:pPr>
      <w:r>
        <w:rPr>
          <w:rFonts w:ascii="Arial" w:cs="Arial" w:eastAsia="Arial" w:hAnsi="Arial"/>
          <w:sz w:val="20"/>
          <w:szCs w:val="20"/>
        </w:rPr>
        <w:t xml:space="preserve">Entra ID Enterprise Application registered with Dev-specific ACS URL and Entity ID</w:t>
      </w:r>
    </w:p>
    <w:p>
      <w:pPr>
        <w:pStyle w:val="ListParagraph"/>
        <w:numPr>
          <w:ilvl w:val="0"/>
          <w:numId w:val="2"/>
        </w:numPr>
        <w:spacing w:after="40" w:before="40"/>
      </w:pPr>
      <w:r>
        <w:rPr>
          <w:rFonts w:ascii="Arial" w:cs="Arial" w:eastAsia="Arial" w:hAnsi="Arial"/>
          <w:sz w:val="20"/>
          <w:szCs w:val="20"/>
        </w:rPr>
        <w:t xml:space="preserve">Minimum permission grants: User.Read, Mail.ReadWrite (delegated), Calendars.Read (delegated)</w:t>
      </w:r>
    </w:p>
    <w:p>
      <w:pPr>
        <w:pStyle w:val="ListParagraph"/>
        <w:numPr>
          <w:ilvl w:val="0"/>
          <w:numId w:val="2"/>
        </w:numPr>
        <w:spacing w:after="40" w:before="40"/>
      </w:pPr>
      <w:r>
        <w:rPr>
          <w:rFonts w:ascii="Arial" w:cs="Arial" w:eastAsia="Arial" w:hAnsi="Arial"/>
          <w:sz w:val="20"/>
          <w:szCs w:val="20"/>
        </w:rPr>
        <w:t xml:space="preserve">Test user population: 5–10 IT staff and IAM engineers</w:t>
      </w:r>
    </w:p>
    <w:p>
      <w:pPr>
        <w:pStyle w:val="ListParagraph"/>
        <w:numPr>
          <w:ilvl w:val="0"/>
          <w:numId w:val="2"/>
        </w:numPr>
        <w:spacing w:after="40" w:before="40"/>
      </w:pPr>
      <w:r>
        <w:rPr>
          <w:rFonts w:ascii="Arial" w:cs="Arial" w:eastAsia="Arial" w:hAnsi="Arial"/>
          <w:sz w:val="20"/>
          <w:szCs w:val="20"/>
        </w:rPr>
        <w:t xml:space="preserve">No production data in Dev environment</w:t>
      </w:r>
    </w:p>
    <w:p>
      <w:pPr>
        <w:pStyle w:val="ListParagraph"/>
        <w:numPr>
          <w:ilvl w:val="0"/>
          <w:numId w:val="2"/>
        </w:numPr>
        <w:spacing w:after="40" w:before="40"/>
      </w:pPr>
      <w:r>
        <w:rPr>
          <w:rFonts w:ascii="Arial" w:cs="Arial" w:eastAsia="Arial" w:hAnsi="Arial"/>
          <w:sz w:val="20"/>
          <w:szCs w:val="20"/>
        </w:rPr>
        <w:t xml:space="preserve">Microsoft Graph permission analysis: document exactly which permissions are invoked and for what operations</w:t>
      </w:r>
    </w:p>
    <w:p>
      <w:pPr>
        <w:pStyle w:val="ListParagraph"/>
        <w:numPr>
          <w:ilvl w:val="0"/>
          <w:numId w:val="2"/>
        </w:numPr>
        <w:spacing w:after="40" w:before="40"/>
      </w:pPr>
      <w:r>
        <w:rPr>
          <w:rFonts w:ascii="Arial" w:cs="Arial" w:eastAsia="Arial" w:hAnsi="Arial"/>
          <w:sz w:val="20"/>
          <w:szCs w:val="20"/>
        </w:rPr>
        <w:t xml:space="preserve">SIEM logging: basic audit logging enabled; validate log format and field mapping</w:t>
      </w:r>
    </w:p>
    <w:p>
      <w:pPr>
        <w:pStyle w:val="Heading3"/>
        <w:spacing w:after="60" w:before="160"/>
      </w:pPr>
      <w:r>
        <w:rPr>
          <w:rFonts w:ascii="Arial" w:cs="Arial" w:eastAsia="Arial" w:hAnsi="Arial"/>
          <w:b/>
          <w:bCs/>
          <w:color w:val="1F3864"/>
          <w:sz w:val="24"/>
          <w:szCs w:val="24"/>
        </w:rPr>
        <w:t xml:space="preserve">5.2.2 Test Environment</w:t>
      </w:r>
    </w:p>
    <w:p>
      <w:pPr>
        <w:pStyle w:val="ListParagraph"/>
        <w:numPr>
          <w:ilvl w:val="0"/>
          <w:numId w:val="2"/>
        </w:numPr>
        <w:spacing w:after="40" w:before="40"/>
      </w:pPr>
      <w:r>
        <w:rPr>
          <w:rFonts w:ascii="Arial" w:cs="Arial" w:eastAsia="Arial" w:hAnsi="Arial"/>
          <w:sz w:val="20"/>
          <w:szCs w:val="20"/>
        </w:rPr>
        <w:t xml:space="preserve">Objective: Full integration testing including all M365 integrations, Conditional Access, MAM, Teams integration, and user lifecycle</w:t>
      </w:r>
    </w:p>
    <w:p>
      <w:pPr>
        <w:pStyle w:val="ListParagraph"/>
        <w:numPr>
          <w:ilvl w:val="0"/>
          <w:numId w:val="2"/>
        </w:numPr>
        <w:spacing w:after="40" w:before="40"/>
      </w:pPr>
      <w:r>
        <w:rPr>
          <w:rFonts w:ascii="Arial" w:cs="Arial" w:eastAsia="Arial" w:hAnsi="Arial"/>
          <w:sz w:val="20"/>
          <w:szCs w:val="20"/>
        </w:rPr>
        <w:t xml:space="preserve">Separate Entra ID Enterprise Application registration with Test-specific endpoints</w:t>
      </w:r>
    </w:p>
    <w:p>
      <w:pPr>
        <w:pStyle w:val="ListParagraph"/>
        <w:numPr>
          <w:ilvl w:val="0"/>
          <w:numId w:val="2"/>
        </w:numPr>
        <w:spacing w:after="40" w:before="40"/>
      </w:pPr>
      <w:r>
        <w:rPr>
          <w:rFonts w:ascii="Arial" w:cs="Arial" w:eastAsia="Arial" w:hAnsi="Arial"/>
          <w:sz w:val="20"/>
          <w:szCs w:val="20"/>
        </w:rPr>
        <w:t xml:space="preserve">Full permission set requested (pending Dev environment analysis and vendor confirmation)</w:t>
      </w:r>
    </w:p>
    <w:p>
      <w:pPr>
        <w:pStyle w:val="ListParagraph"/>
        <w:numPr>
          <w:ilvl w:val="0"/>
          <w:numId w:val="2"/>
        </w:numPr>
        <w:spacing w:after="40" w:before="40"/>
      </w:pPr>
      <w:r>
        <w:rPr>
          <w:rFonts w:ascii="Arial" w:cs="Arial" w:eastAsia="Arial" w:hAnsi="Arial"/>
          <w:sz w:val="20"/>
          <w:szCs w:val="20"/>
        </w:rPr>
        <w:t xml:space="preserve">Test user population: 20–50 users including business stakeholders and super users</w:t>
      </w:r>
    </w:p>
    <w:p>
      <w:pPr>
        <w:pStyle w:val="ListParagraph"/>
        <w:numPr>
          <w:ilvl w:val="0"/>
          <w:numId w:val="2"/>
        </w:numPr>
        <w:spacing w:after="40" w:before="40"/>
      </w:pPr>
      <w:r>
        <w:rPr>
          <w:rFonts w:ascii="Arial" w:cs="Arial" w:eastAsia="Arial" w:hAnsi="Arial"/>
          <w:sz w:val="20"/>
          <w:szCs w:val="20"/>
        </w:rPr>
        <w:t xml:space="preserve">Simulated production data (anonymized/synthetic); no real client or regulatory data</w:t>
      </w:r>
    </w:p>
    <w:p>
      <w:pPr>
        <w:pStyle w:val="ListParagraph"/>
        <w:numPr>
          <w:ilvl w:val="0"/>
          <w:numId w:val="2"/>
        </w:numPr>
        <w:spacing w:after="40" w:before="40"/>
      </w:pPr>
      <w:r>
        <w:rPr>
          <w:rFonts w:ascii="Arial" w:cs="Arial" w:eastAsia="Arial" w:hAnsi="Arial"/>
          <w:sz w:val="20"/>
          <w:szCs w:val="20"/>
        </w:rPr>
        <w:t xml:space="preserve">Conditional Access policy applied and tested; document any exceptions required</w:t>
      </w:r>
    </w:p>
    <w:p>
      <w:pPr>
        <w:pStyle w:val="ListParagraph"/>
        <w:numPr>
          <w:ilvl w:val="0"/>
          <w:numId w:val="2"/>
        </w:numPr>
        <w:spacing w:after="40" w:before="40"/>
      </w:pPr>
      <w:r>
        <w:rPr>
          <w:rFonts w:ascii="Arial" w:cs="Arial" w:eastAsia="Arial" w:hAnsi="Arial"/>
          <w:sz w:val="20"/>
          <w:szCs w:val="20"/>
        </w:rPr>
        <w:t xml:space="preserve">Intune MAM testing on iOS and Android devices</w:t>
      </w:r>
    </w:p>
    <w:p>
      <w:pPr>
        <w:pStyle w:val="ListParagraph"/>
        <w:numPr>
          <w:ilvl w:val="0"/>
          <w:numId w:val="2"/>
        </w:numPr>
        <w:spacing w:after="40" w:before="40"/>
      </w:pPr>
      <w:r>
        <w:rPr>
          <w:rFonts w:ascii="Arial" w:cs="Arial" w:eastAsia="Arial" w:hAnsi="Arial"/>
          <w:sz w:val="20"/>
          <w:szCs w:val="20"/>
        </w:rPr>
        <w:t xml:space="preserve">SCIM or JIT provisioning lifecycle fully tested: create, modify, deactivate</w:t>
      </w:r>
    </w:p>
    <w:p>
      <w:pPr>
        <w:pStyle w:val="ListParagraph"/>
        <w:numPr>
          <w:ilvl w:val="0"/>
          <w:numId w:val="2"/>
        </w:numPr>
        <w:spacing w:after="40" w:before="40"/>
      </w:pPr>
      <w:r>
        <w:rPr>
          <w:rFonts w:ascii="Arial" w:cs="Arial" w:eastAsia="Arial" w:hAnsi="Arial"/>
          <w:sz w:val="20"/>
          <w:szCs w:val="20"/>
        </w:rPr>
        <w:t xml:space="preserve">Load and performance testing against iManage API rate limits</w:t>
      </w:r>
    </w:p>
    <w:p>
      <w:pPr>
        <w:pStyle w:val="Heading3"/>
        <w:spacing w:after="60" w:before="160"/>
      </w:pPr>
      <w:r>
        <w:rPr>
          <w:rFonts w:ascii="Arial" w:cs="Arial" w:eastAsia="Arial" w:hAnsi="Arial"/>
          <w:b/>
          <w:bCs/>
          <w:color w:val="1F3864"/>
          <w:sz w:val="24"/>
          <w:szCs w:val="24"/>
        </w:rPr>
        <w:t xml:space="preserve">5.2.3 Production Rollout Strategy</w:t>
      </w:r>
    </w:p>
    <w:p>
      <w:pPr>
        <w:pStyle w:val="ListParagraph"/>
        <w:numPr>
          <w:ilvl w:val="0"/>
          <w:numId w:val="2"/>
        </w:numPr>
        <w:spacing w:after="40" w:before="40"/>
      </w:pPr>
      <w:r>
        <w:rPr>
          <w:rFonts w:ascii="Arial" w:cs="Arial" w:eastAsia="Arial" w:hAnsi="Arial"/>
          <w:sz w:val="20"/>
          <w:szCs w:val="20"/>
        </w:rPr>
        <w:t xml:space="preserve">Phased rollout recommended: Pilot (50 users) → Wave 1 (25%) → Wave 2 (50%) → Full rollout</w:t>
      </w:r>
    </w:p>
    <w:p>
      <w:pPr>
        <w:pStyle w:val="ListParagraph"/>
        <w:numPr>
          <w:ilvl w:val="0"/>
          <w:numId w:val="2"/>
        </w:numPr>
        <w:spacing w:after="40" w:before="40"/>
      </w:pPr>
      <w:r>
        <w:rPr>
          <w:rFonts w:ascii="Arial" w:cs="Arial" w:eastAsia="Arial" w:hAnsi="Arial"/>
          <w:sz w:val="20"/>
          <w:szCs w:val="20"/>
        </w:rPr>
        <w:t xml:space="preserve">Pilot users should span business units and geographic locations to test regional access patterns</w:t>
      </w:r>
    </w:p>
    <w:p>
      <w:pPr>
        <w:pStyle w:val="ListParagraph"/>
        <w:numPr>
          <w:ilvl w:val="0"/>
          <w:numId w:val="2"/>
        </w:numPr>
        <w:spacing w:after="40" w:before="40"/>
      </w:pPr>
      <w:r>
        <w:rPr>
          <w:rFonts w:ascii="Arial" w:cs="Arial" w:eastAsia="Arial" w:hAnsi="Arial"/>
          <w:sz w:val="20"/>
          <w:szCs w:val="20"/>
        </w:rPr>
        <w:t xml:space="preserve">Production Entra ID Enterprise Application registered with production endpoints; separate admin consent for production permissions</w:t>
      </w:r>
    </w:p>
    <w:p>
      <w:pPr>
        <w:pStyle w:val="ListParagraph"/>
        <w:numPr>
          <w:ilvl w:val="0"/>
          <w:numId w:val="2"/>
        </w:numPr>
        <w:spacing w:after="40" w:before="40"/>
      </w:pPr>
      <w:r>
        <w:rPr>
          <w:rFonts w:ascii="Arial" w:cs="Arial" w:eastAsia="Arial" w:hAnsi="Arial"/>
          <w:sz w:val="20"/>
          <w:szCs w:val="20"/>
        </w:rPr>
        <w:t xml:space="preserve">All Conditional Access policies active from day one of pilot; no exceptions without documented security risk acceptance</w:t>
      </w:r>
    </w:p>
    <w:p>
      <w:pPr>
        <w:pStyle w:val="ListParagraph"/>
        <w:numPr>
          <w:ilvl w:val="0"/>
          <w:numId w:val="2"/>
        </w:numPr>
        <w:spacing w:after="40" w:before="40"/>
      </w:pPr>
      <w:r>
        <w:rPr>
          <w:rFonts w:ascii="Arial" w:cs="Arial" w:eastAsia="Arial" w:hAnsi="Arial"/>
          <w:sz w:val="20"/>
          <w:szCs w:val="20"/>
        </w:rPr>
        <w:t xml:space="preserve">Helpdesk enablement: training and runbook prior to each wave</w:t>
      </w:r>
    </w:p>
    <w:p>
      <w:pPr>
        <w:pStyle w:val="ListParagraph"/>
        <w:numPr>
          <w:ilvl w:val="0"/>
          <w:numId w:val="2"/>
        </w:numPr>
        <w:spacing w:after="40" w:before="40"/>
      </w:pPr>
      <w:r>
        <w:rPr>
          <w:rFonts w:ascii="Arial" w:cs="Arial" w:eastAsia="Arial" w:hAnsi="Arial"/>
          <w:sz w:val="20"/>
          <w:szCs w:val="20"/>
        </w:rPr>
        <w:t xml:space="preserve">Go-live readiness checklist signed off by IAM, Security, Cloud Engineering, and Business stakeholders before each wave</w:t>
      </w:r>
    </w:p>
    <w:p>
      <w:pPr>
        <w:pStyle w:val="Heading3"/>
        <w:spacing w:after="60" w:before="160"/>
      </w:pPr>
      <w:r>
        <w:rPr>
          <w:rFonts w:ascii="Arial" w:cs="Arial" w:eastAsia="Arial" w:hAnsi="Arial"/>
          <w:b/>
          <w:bCs/>
          <w:color w:val="1F3864"/>
          <w:sz w:val="24"/>
          <w:szCs w:val="24"/>
        </w:rPr>
        <w:t xml:space="preserve">5.2.4 Rollback Approach</w:t>
      </w:r>
    </w:p>
    <w:p>
      <w:pPr>
        <w:pStyle w:val="ListParagraph"/>
        <w:numPr>
          <w:ilvl w:val="0"/>
          <w:numId w:val="2"/>
        </w:numPr>
        <w:spacing w:after="40" w:before="40"/>
      </w:pPr>
      <w:r>
        <w:rPr>
          <w:rFonts w:ascii="Arial" w:cs="Arial" w:eastAsia="Arial" w:hAnsi="Arial"/>
          <w:sz w:val="20"/>
          <w:szCs w:val="20"/>
        </w:rPr>
        <w:t xml:space="preserve">SAML SSO rollback: Remove iManage Enterprise Application from Entra ID and disable iManage Outlook add-in deployment; users revert to prior DMS or email management workflow</w:t>
      </w:r>
    </w:p>
    <w:p>
      <w:pPr>
        <w:pStyle w:val="ListParagraph"/>
        <w:numPr>
          <w:ilvl w:val="0"/>
          <w:numId w:val="2"/>
        </w:numPr>
        <w:spacing w:after="40" w:before="40"/>
      </w:pPr>
      <w:r>
        <w:rPr>
          <w:rFonts w:ascii="Arial" w:cs="Arial" w:eastAsia="Arial" w:hAnsi="Arial"/>
          <w:sz w:val="20"/>
          <w:szCs w:val="20"/>
        </w:rPr>
        <w:t xml:space="preserve">Microsoft Graph permission rollback: Revoke admin consent for iManage application permissions; document impact to running workflows</w:t>
      </w:r>
    </w:p>
    <w:p>
      <w:pPr>
        <w:pStyle w:val="ListParagraph"/>
        <w:numPr>
          <w:ilvl w:val="0"/>
          <w:numId w:val="2"/>
        </w:numPr>
        <w:spacing w:after="40" w:before="40"/>
      </w:pPr>
      <w:r>
        <w:rPr>
          <w:rFonts w:ascii="Arial" w:cs="Arial" w:eastAsia="Arial" w:hAnsi="Arial"/>
          <w:sz w:val="20"/>
          <w:szCs w:val="20"/>
        </w:rPr>
        <w:t xml:space="preserve">User provisioning rollback: Suspend SCIM sync in Entra ID; iManage accounts preserved in disabled state for recovery</w:t>
      </w:r>
    </w:p>
    <w:p>
      <w:pPr>
        <w:pStyle w:val="ListParagraph"/>
        <w:numPr>
          <w:ilvl w:val="0"/>
          <w:numId w:val="2"/>
        </w:numPr>
        <w:spacing w:after="40" w:before="40"/>
      </w:pPr>
      <w:r>
        <w:rPr>
          <w:rFonts w:ascii="Arial" w:cs="Arial" w:eastAsia="Arial" w:hAnsi="Arial"/>
          <w:sz w:val="20"/>
          <w:szCs w:val="20"/>
        </w:rPr>
        <w:t xml:space="preserve">Data rollback: iManage Work Cloud SaaS; no local data to roll back; coordinate with iManage for data export if platform decommissioned</w:t>
      </w:r>
    </w:p>
    <w:p>
      <w:pPr>
        <w:pStyle w:val="ListParagraph"/>
        <w:numPr>
          <w:ilvl w:val="0"/>
          <w:numId w:val="2"/>
        </w:numPr>
        <w:spacing w:after="40" w:before="40"/>
      </w:pPr>
      <w:r>
        <w:rPr>
          <w:rFonts w:ascii="Arial" w:cs="Arial" w:eastAsia="Arial" w:hAnsi="Arial"/>
          <w:sz w:val="20"/>
          <w:szCs w:val="20"/>
        </w:rPr>
        <w:t xml:space="preserve">Rollback decision authority: Architecture Review Board and CISO; rollback decision must be documented in the change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DEBD0" w:val="clear"/>
            <w:tcMar>
              <w:top w:type="dxa" w:w="80"/>
              <w:left w:type="dxa" w:w="120"/>
              <w:bottom w:type="dxa" w:w="80"/>
              <w:right w:type="dxa" w:w="120"/>
            </w:tcMar>
          </w:tcPr>
          <w:p>
            <w:r>
              <w:rPr>
                <w:rFonts w:ascii="Arial" w:cs="Arial" w:eastAsia="Arial" w:hAnsi="Arial"/>
                <w:b/>
                <w:bCs/>
                <w:color w:val="A04000"/>
                <w:sz w:val="18"/>
                <w:szCs w:val="18"/>
              </w:rPr>
              <w:t xml:space="preserve">⚑ WARNING: </w:t>
            </w:r>
            <w:r>
              <w:rPr>
                <w:rFonts w:ascii="Arial" w:cs="Arial" w:eastAsia="Arial" w:hAnsi="Arial"/>
                <w:sz w:val="18"/>
                <w:szCs w:val="18"/>
              </w:rPr>
              <w:t xml:space="preserve">Rollback from Production iManage deployment is operationally complex if users have filed significant volumes of emails and documents. Rollback procedures should be fully tested in Test environment and documented before Production go-live.</w:t>
            </w:r>
          </w:p>
        </w:tc>
      </w:tr>
    </w:tbl>
    <w:p>
      <w:r>
        <w:br w:type="page"/>
      </w:r>
    </w:p>
    <w:p>
      <w:pPr>
        <w:pStyle w:val="Heading1"/>
        <w:spacing w:after="120" w:before="360"/>
      </w:pPr>
      <w:r>
        <w:rPr>
          <w:rFonts w:ascii="Arial" w:cs="Arial" w:eastAsia="Arial" w:hAnsi="Arial"/>
          <w:b/>
          <w:bCs/>
          <w:color w:val="1F3864"/>
          <w:sz w:val="36"/>
          <w:szCs w:val="36"/>
        </w:rPr>
        <w:t xml:space="preserve">6. Security Assessment</w:t>
      </w:r>
    </w:p>
    <w:p>
      <w:pPr>
        <w:pBdr>
          <w:bottom w:val="single" w:color="2E75B6" w:sz="8" w:space="1"/>
        </w:pBdr>
        <w:spacing w:after="120" w:before="120"/>
      </w:pPr>
    </w:p>
    <w:p>
      <w:pPr>
        <w:pStyle w:val="Heading2"/>
        <w:spacing w:after="80" w:before="240"/>
      </w:pPr>
      <w:r>
        <w:rPr>
          <w:rFonts w:ascii="Arial" w:cs="Arial" w:eastAsia="Arial" w:hAnsi="Arial"/>
          <w:b/>
          <w:bCs/>
          <w:color w:val="2E75B6"/>
          <w:sz w:val="28"/>
          <w:szCs w:val="28"/>
        </w:rPr>
        <w:t xml:space="preserve">6.1 Data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54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Data Residency</w:t>
            </w:r>
          </w:p>
        </w:tc>
        <w:tc>
          <w:tcPr>
            <w:tcW w:type="dxa" w:w="15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Configurable</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Work Cloud is hosted on Microsoft Azure. Customers can select data residency region during provisioning. For Canadian financial institutions, Canada Central (Toronto) region must be explicitly selected. Confirm with iManage that all data stores, including backup and disaster recovery replicas, remain within Canada.</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Encryption in Transit</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Confirmed</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All traffic between clients (browser, Outlook add-in, mobile app) and iManage Cloud is encrypted using TLS 1.2 minimum. TLS 1.3 support requires vendor confirmation. Internal Azure service-to-service traffic is encrypted per Microsoft's Azure infrastructure standards.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Encryption at Rest</w:t>
            </w:r>
          </w:p>
        </w:tc>
        <w:tc>
          <w:tcPr>
            <w:tcW w:type="dxa" w:w="156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Confirmed</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Work Cloud data at rest is encrypted using AES-256 encryption per iManage published documentation. Encryption keys managed by iManage using Microsoft Azure Key Vault by default.</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Customer-Managed Keys (CMK)</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Vendor Confirmation Required</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documentation references encryption at rest but does not clearly document BYOK (Bring Your Own Key) or CMK support via Azure Key Vault integration. Financial institutions with data sovereignty requirements may mandate CMK. Formal vendor attestation required.</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Audit Logging</w:t>
            </w:r>
          </w:p>
        </w:tc>
        <w:tc>
          <w:tcPr>
            <w:tcW w:type="dxa" w:w="15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Confirmed (scope TBC)</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Control Center provides audit logs for user authentication, document access, filing, check-out/in, and administrative actions. Log retention period, export format, and completeness of audit events requires vendor confirmation. SIEM integration capability must be confirmed.</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SIEM Integration</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Vendor Confirmation Required</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does not appear to have a native Microsoft Sentinel connector in the official Sentinel content hub as of the assessment date. Third-party integration via webhook, CEF, or API export may be required. Confirm supported SIEM integration methods with iManage.</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Conditional Access Compatibility</w:t>
            </w:r>
          </w:p>
        </w:tc>
        <w:tc>
          <w:tcPr>
            <w:tcW w:type="dxa" w:w="15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Confirmed (testing required)</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Work Cloud authenticates via SAML 2.0 through Entra ID, meaning Conditional Access policies are evaluated at authentication. Post-authentication token-based access (Graph API) is also subject to CA policy. Testing required to confirm no breaks with token lifetime policies, persistent browser sessions, and sign-in frequency controls.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Intune MAM Compatibility</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Vendor Confirmation Required</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mobile applications (iOS and Android) should support Intune App Protection Policies if the Intune SDK is integrated. Version of Intune SDK in current app release must be confirmed with iManage. MAM without enrollment (MAM-WE) policy support also requires confirmation.</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Microsoft Purview DLP Integration</w:t>
            </w:r>
          </w:p>
        </w:tc>
        <w:tc>
          <w:tcPr>
            <w:tcW w:type="dxa" w:w="156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Partial / Indirect</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does not natively integrate with Microsoft Purview DLP policies for documents stored within iManage. DLP controls apply to documents as they transit through M365 services (Exchange Online, SharePoint, Teams). iManage has its own document-level security (NTK, ACLs) which complements but does not replace Purview DLP for M365 channels.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Insider Risk Considerations</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Assessment Required</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Documents and emails filed in iManage via Microsoft Graph may generate signals in Microsoft Purview Insider Risk Management if Graph API activity is surfaced. Coordinate with security team to ensure iManage service account Graph API activity is appropriately scoped and excluded from false-positive IRM scenarios.</w:t>
            </w:r>
          </w:p>
        </w:tc>
      </w:tr>
    </w:tbl>
    <w:p>
      <w:pPr>
        <w:pStyle w:val="Heading2"/>
        <w:spacing w:after="80" w:before="240"/>
      </w:pPr>
      <w:r>
        <w:rPr>
          <w:rFonts w:ascii="Arial" w:cs="Arial" w:eastAsia="Arial" w:hAnsi="Arial"/>
          <w:b/>
          <w:bCs/>
          <w:color w:val="2E75B6"/>
          <w:sz w:val="28"/>
          <w:szCs w:val="28"/>
        </w:rPr>
        <w:t xml:space="preserve">6.2 High-Risk Permission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4"/>
              <w:left w:val="single" w:color="E74C3C" w:sz="4"/>
              <w:bottom w:val="single" w:color="E74C3C" w:sz="4"/>
              <w:right w:val="single" w:color="E74C3C" w:sz="4"/>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 RISK: </w:t>
            </w:r>
            <w:r>
              <w:rPr>
                <w:rFonts w:ascii="Arial" w:cs="Arial" w:eastAsia="Arial" w:hAnsi="Arial"/>
                <w:sz w:val="18"/>
                <w:szCs w:val="18"/>
              </w:rPr>
              <w:t xml:space="preserve">The following permissions represent the highest risk items identified in the Graph permission matrix. Each requires formal justification before admin consent is granted in any environment.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Permission</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Level</w:t>
            </w:r>
          </w:p>
        </w:tc>
        <w:tc>
          <w:tcPr>
            <w:tcW w:type="dxa" w:w="54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Concern and Recommended Control</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ChannelMessage.Read.All (Application)</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Application-level access to read ALL Teams channel messages across the tenant without user context. This permission enables reading messages in channels the user would not have access to. Control: Restrict to specific Teams if Graph API supports scoped application permissions for Teams; conduct security review before consent.</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Sites.ReadWrite.All (Application)</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Tenant-wide write access to all SharePoint Online sites. If granted at application level, iManage service account could write to any SharePoint site. Control: Confirm whether read-only (Sites.Read.All) is sufficient; if write required, implement strict change monitoring.</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Mail.ReadWrite (Delegated)</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While delegated (user-context), this permission allows reading and modifying all emails in the user's mailbox. If iManage add-in is compromised, attacker gains full mailbox access. Control: Ensure iManage Outlook add-in is deployed only to licensed users via Intune; monitor for anomalous mail access patterns via Defender for Cloud Apps.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User.Read.All (Application)</w:t>
            </w:r>
          </w:p>
        </w:tc>
        <w:tc>
          <w:tcPr>
            <w:tcW w:type="dxa" w:w="156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784212"/>
                <w:sz w:val="17"/>
                <w:szCs w:val="17"/>
              </w:rPr>
              <w:t xml:space="preserve">MEDIUM</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Read all users' full profiles in the tenant. Required for user sync but represents broad directory read access. Control: Confirm this cannot be restricted to specific groups or OUs; monitor directory read operations in Entra ID sign-in logs.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Files.ReadWrite.All (Application)</w:t>
            </w:r>
          </w:p>
        </w:tc>
        <w:tc>
          <w:tcPr>
            <w:tcW w:type="dxa" w:w="156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HIGH</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If required, this represents tenant-wide file write access. Must be rejected unless iManage provides compelling documented justification. Prefer Files.ReadWrite (delegated) where possible.</w:t>
            </w:r>
          </w:p>
        </w:tc>
      </w:tr>
    </w:tbl>
    <w:p>
      <w:pPr>
        <w:pStyle w:val="Heading2"/>
        <w:spacing w:after="80" w:before="240"/>
      </w:pPr>
      <w:r>
        <w:rPr>
          <w:rFonts w:ascii="Arial" w:cs="Arial" w:eastAsia="Arial" w:hAnsi="Arial"/>
          <w:b/>
          <w:bCs/>
          <w:color w:val="2E75B6"/>
          <w:sz w:val="28"/>
          <w:szCs w:val="28"/>
        </w:rPr>
        <w:t xml:space="preserve">6.3 Data Exfiltration Scenarios</w:t>
      </w:r>
    </w:p>
    <w:p>
      <w:pPr>
        <w:spacing w:after="60" w:before="60"/>
      </w:pPr>
      <w:r>
        <w:rPr>
          <w:rFonts w:ascii="Arial" w:cs="Arial" w:eastAsia="Arial" w:hAnsi="Arial"/>
          <w:sz w:val="20"/>
          <w:szCs w:val="20"/>
        </w:rPr>
        <w:t xml:space="preserve">The following data exfiltration scenarios must be assessed and mitigated before production deployment:</w:t>
      </w:r>
    </w:p>
    <w:p>
      <w:pPr>
        <w:pStyle w:val="ListParagraph"/>
        <w:numPr>
          <w:ilvl w:val="0"/>
          <w:numId w:val="2"/>
        </w:numPr>
        <w:spacing w:after="40" w:before="40"/>
      </w:pPr>
      <w:r>
        <w:rPr>
          <w:rFonts w:ascii="Arial" w:cs="Arial" w:eastAsia="Arial" w:hAnsi="Arial"/>
          <w:sz w:val="20"/>
          <w:szCs w:val="20"/>
        </w:rPr>
        <w:t xml:space="preserve">Compromised iManage service account with application-level Graph permissions could be used to exfiltrate tenant-wide email, files, and Teams messages</w:t>
      </w:r>
    </w:p>
    <w:p>
      <w:pPr>
        <w:pStyle w:val="ListParagraph"/>
        <w:numPr>
          <w:ilvl w:val="0"/>
          <w:numId w:val="2"/>
        </w:numPr>
        <w:spacing w:after="40" w:before="40"/>
      </w:pPr>
      <w:r>
        <w:rPr>
          <w:rFonts w:ascii="Arial" w:cs="Arial" w:eastAsia="Arial" w:hAnsi="Arial"/>
          <w:sz w:val="20"/>
          <w:szCs w:val="20"/>
        </w:rPr>
        <w:t xml:space="preserve">iManage Outlook add-in running in user context with Mail.ReadWrite access could be used by a malicious actor who compromises the add-in to read and exfiltrate email content</w:t>
      </w:r>
    </w:p>
    <w:p>
      <w:pPr>
        <w:pStyle w:val="ListParagraph"/>
        <w:numPr>
          <w:ilvl w:val="0"/>
          <w:numId w:val="2"/>
        </w:numPr>
        <w:spacing w:after="40" w:before="40"/>
      </w:pPr>
      <w:r>
        <w:rPr>
          <w:rFonts w:ascii="Arial" w:cs="Arial" w:eastAsia="Arial" w:hAnsi="Arial"/>
          <w:sz w:val="20"/>
          <w:szCs w:val="20"/>
        </w:rPr>
        <w:t xml:space="preserve">Documents downloaded from iManage mobile app to device storage could bypass DLP controls if MAM policies are not enforced; Intune App Protection Policy must restrict save-to-device and clipboard operations</w:t>
      </w:r>
    </w:p>
    <w:p>
      <w:pPr>
        <w:pStyle w:val="ListParagraph"/>
        <w:numPr>
          <w:ilvl w:val="0"/>
          <w:numId w:val="2"/>
        </w:numPr>
        <w:spacing w:after="40" w:before="40"/>
      </w:pPr>
      <w:r>
        <w:rPr>
          <w:rFonts w:ascii="Arial" w:cs="Arial" w:eastAsia="Arial" w:hAnsi="Arial"/>
          <w:sz w:val="20"/>
          <w:szCs w:val="20"/>
        </w:rPr>
        <w:t xml:space="preserve">iManage's own cloud infrastructure access to customer data represents a third-party access risk; review iManage SOC 2 Type II report and data processing agreement</w:t>
      </w:r>
    </w:p>
    <w:p>
      <w:pPr>
        <w:pStyle w:val="ListParagraph"/>
        <w:numPr>
          <w:ilvl w:val="0"/>
          <w:numId w:val="2"/>
        </w:numPr>
        <w:spacing w:after="40" w:before="40"/>
      </w:pPr>
      <w:r>
        <w:rPr>
          <w:rFonts w:ascii="Arial" w:cs="Arial" w:eastAsia="Arial" w:hAnsi="Arial"/>
          <w:sz w:val="20"/>
          <w:szCs w:val="20"/>
        </w:rPr>
        <w:t xml:space="preserve">External sharing via iManage Share creates a potential data egress path; ShareShare must be governed by DLP and data classification policy</w:t>
      </w:r>
    </w:p>
    <w:p>
      <w:r>
        <w:br w:type="page"/>
      </w:r>
    </w:p>
    <w:p>
      <w:pPr>
        <w:pStyle w:val="Heading1"/>
        <w:spacing w:after="120" w:before="360"/>
      </w:pPr>
      <w:r>
        <w:rPr>
          <w:rFonts w:ascii="Arial" w:cs="Arial" w:eastAsia="Arial" w:hAnsi="Arial"/>
          <w:b/>
          <w:bCs/>
          <w:color w:val="1F3864"/>
          <w:sz w:val="36"/>
          <w:szCs w:val="36"/>
        </w:rPr>
        <w:t xml:space="preserve">7. Mobile Assessment</w:t>
      </w:r>
    </w:p>
    <w:p>
      <w:pPr>
        <w:pBdr>
          <w:bottom w:val="single" w:color="2E75B6" w:sz="8" w:space="1"/>
        </w:pBdr>
        <w:spacing w:after="120" w:before="120"/>
      </w:pPr>
    </w:p>
    <w:p>
      <w:pPr>
        <w:pStyle w:val="Heading2"/>
        <w:spacing w:after="80" w:before="240"/>
      </w:pPr>
      <w:r>
        <w:rPr>
          <w:rFonts w:ascii="Arial" w:cs="Arial" w:eastAsia="Arial" w:hAnsi="Arial"/>
          <w:b/>
          <w:bCs/>
          <w:color w:val="2E75B6"/>
          <w:sz w:val="28"/>
          <w:szCs w:val="28"/>
        </w:rPr>
        <w:t xml:space="preserve">7.1 iManage Mobile Application Availability</w:t>
      </w:r>
    </w:p>
    <w:p>
      <w:pPr>
        <w:spacing w:after="60" w:before="60"/>
      </w:pPr>
      <w:r>
        <w:rPr>
          <w:rFonts w:ascii="Arial" w:cs="Arial" w:eastAsia="Arial" w:hAnsi="Arial"/>
          <w:sz w:val="20"/>
          <w:szCs w:val="20"/>
        </w:rPr>
        <w:t xml:space="preserve">iManage provides native mobile applications for both major mobile platforms:</w:t>
      </w:r>
    </w:p>
    <w:p>
      <w:pPr>
        <w:pStyle w:val="ListParagraph"/>
        <w:numPr>
          <w:ilvl w:val="0"/>
          <w:numId w:val="2"/>
        </w:numPr>
        <w:spacing w:after="40" w:before="40"/>
      </w:pPr>
      <w:r>
        <w:rPr>
          <w:rFonts w:ascii="Arial" w:cs="Arial" w:eastAsia="Arial" w:hAnsi="Arial"/>
          <w:sz w:val="20"/>
          <w:szCs w:val="20"/>
        </w:rPr>
        <w:t xml:space="preserve">iOS: iManage Work for iOS – available on the Apple App Store. Requires iOS 15 or later per iManage published documentation.</w:t>
      </w:r>
    </w:p>
    <w:p>
      <w:pPr>
        <w:pStyle w:val="ListParagraph"/>
        <w:numPr>
          <w:ilvl w:val="0"/>
          <w:numId w:val="2"/>
        </w:numPr>
        <w:spacing w:after="40" w:before="40"/>
      </w:pPr>
      <w:r>
        <w:rPr>
          <w:rFonts w:ascii="Arial" w:cs="Arial" w:eastAsia="Arial" w:hAnsi="Arial"/>
          <w:sz w:val="20"/>
          <w:szCs w:val="20"/>
        </w:rPr>
        <w:t xml:space="preserve">Android: iManage Work for Android – available on the Google Play Store. Requires Android 10 or later per iManage published documentation.</w:t>
      </w:r>
    </w:p>
    <w:p>
      <w:pPr>
        <w:pStyle w:val="ListParagraph"/>
        <w:numPr>
          <w:ilvl w:val="0"/>
          <w:numId w:val="2"/>
        </w:numPr>
        <w:spacing w:after="40" w:before="40"/>
      </w:pPr>
      <w:r>
        <w:rPr>
          <w:rFonts w:ascii="Arial" w:cs="Arial" w:eastAsia="Arial" w:hAnsi="Arial"/>
          <w:sz w:val="20"/>
          <w:szCs w:val="20"/>
        </w:rPr>
        <w:t xml:space="preserve">Browser-based mobile: iManage Work web client is accessible via mobile browsers including Safari on iOS and Edge on Android; feature set is more limited than native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C4" w:val="clear"/>
            <w:tcMar>
              <w:top w:type="dxa" w:w="80"/>
              <w:left w:type="dxa" w:w="120"/>
              <w:bottom w:type="dxa" w:w="80"/>
              <w:right w:type="dxa" w:w="120"/>
            </w:tcMar>
          </w:tcPr>
          <w:p>
            <w:r>
              <w:rPr>
                <w:rFonts w:ascii="Arial" w:cs="Arial" w:eastAsia="Arial" w:hAnsi="Arial"/>
                <w:b/>
                <w:bCs/>
                <w:color w:val="1F3864"/>
                <w:sz w:val="18"/>
                <w:szCs w:val="18"/>
              </w:rPr>
              <w:t xml:space="preserve">⚑ VENDOR: </w:t>
            </w:r>
            <w:r>
              <w:rPr>
                <w:rFonts w:ascii="Arial" w:cs="Arial" w:eastAsia="Arial" w:hAnsi="Arial"/>
                <w:sz w:val="18"/>
                <w:szCs w:val="18"/>
              </w:rPr>
              <w:t xml:space="preserve">Native application version support requirements and Intune SDK version must be confirmed with iManage to ensure compatibility with the organization's minimum OS version policy.</w:t>
            </w:r>
          </w:p>
        </w:tc>
      </w:tr>
    </w:tbl>
    <w:p>
      <w:pPr>
        <w:pStyle w:val="Heading2"/>
        <w:spacing w:after="80" w:before="240"/>
      </w:pPr>
      <w:r>
        <w:rPr>
          <w:rFonts w:ascii="Arial" w:cs="Arial" w:eastAsia="Arial" w:hAnsi="Arial"/>
          <w:b/>
          <w:bCs/>
          <w:color w:val="2E75B6"/>
          <w:sz w:val="28"/>
          <w:szCs w:val="28"/>
        </w:rPr>
        <w:t xml:space="preserve">7.2 Mobile Feature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1755"/>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iOS Native App</w:t>
            </w:r>
          </w:p>
        </w:tc>
        <w:tc>
          <w:tcPr>
            <w:tcW w:type="dxa" w:w="1755"/>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Edge Browser (Mobile)</w:t>
            </w:r>
          </w:p>
        </w:tc>
        <w:tc>
          <w:tcPr>
            <w:tcW w:type="dxa" w:w="1755"/>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Desktop Client</w:t>
            </w:r>
          </w:p>
        </w:tc>
        <w:tc>
          <w:tcPr>
            <w:tcW w:type="dxa" w:w="1755"/>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Web Client (Browser)</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Offline Support</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Full offline cache</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Limited (browser cache)</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Full offline cache</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None</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Document Editing</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(Office Online integration)</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(browser-based)</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(full Office integration)</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(Office Online)</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Email Filing</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(native)</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Limited</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(full)</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Push Notifications</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(native push)</w:t>
            </w:r>
          </w:p>
        </w:tc>
        <w:tc>
          <w:tcPr>
            <w:tcW w:type="dxa" w:w="1755"/>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(Windows notifications)</w:t>
            </w:r>
          </w:p>
        </w:tc>
        <w:tc>
          <w:tcPr>
            <w:tcW w:type="dxa" w:w="1755"/>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Mobile Sharing</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(native share sheet)</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Limited (browser share)</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(OS integration)</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Limited</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Intune MAM Support</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(Intune SDK – confirm version)</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Via Edge MAM policies</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Via Intune device management</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Via browser policy</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Conditional Access Support</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(via Entra ID SAML)</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(via Edge CA)</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(via Entra ID SAML)</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(via Entra ID SAML)</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Biometric Authentication</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(Touch ID / Face ID)</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Depends on device</w:t>
            </w:r>
          </w:p>
        </w:tc>
        <w:tc>
          <w:tcPr>
            <w:tcW w:type="dxa" w:w="1755"/>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w:t>
            </w:r>
          </w:p>
        </w:tc>
        <w:tc>
          <w:tcPr>
            <w:tcW w:type="dxa" w:w="1755"/>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Full-Text Search</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Full (offline index)</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Online only</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Full</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Online only</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Document Upload</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(camera + file picker)</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(browser file picker)</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(file system)</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(browser file picker)</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Camera Integration</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(camera to document)</w:t>
            </w:r>
          </w:p>
        </w:tc>
        <w:tc>
          <w:tcPr>
            <w:tcW w:type="dxa" w:w="1755"/>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w:t>
            </w:r>
          </w:p>
        </w:tc>
        <w:tc>
          <w:tcPr>
            <w:tcW w:type="dxa" w:w="1755"/>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w:t>
            </w:r>
          </w:p>
        </w:tc>
        <w:tc>
          <w:tcPr>
            <w:tcW w:type="dxa" w:w="1755"/>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w:t>
            </w:r>
          </w:p>
        </w:tc>
      </w:tr>
      <w:tr>
        <w:tc>
          <w:tcPr>
            <w:tcW w:type="dxa" w:w="234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Open-In Functionality</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(open-in iManage)</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Limited</w:t>
            </w:r>
          </w:p>
        </w:tc>
        <w:tc>
          <w:tcPr>
            <w:tcW w:type="dxa" w:w="1755"/>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Yes (OS integration)</w:t>
            </w:r>
          </w:p>
        </w:tc>
        <w:tc>
          <w:tcPr>
            <w:tcW w:type="dxa" w:w="1755"/>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Limited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9C4" w:val="clear"/>
            <w:tcMar>
              <w:top w:type="dxa" w:w="80"/>
              <w:left w:type="dxa" w:w="120"/>
              <w:bottom w:type="dxa" w:w="80"/>
              <w:right w:type="dxa" w:w="120"/>
            </w:tcMar>
          </w:tcPr>
          <w:p>
            <w:r>
              <w:rPr>
                <w:rFonts w:ascii="Arial" w:cs="Arial" w:eastAsia="Arial" w:hAnsi="Arial"/>
                <w:b/>
                <w:bCs/>
                <w:color w:val="1F3864"/>
                <w:sz w:val="18"/>
                <w:szCs w:val="18"/>
              </w:rPr>
              <w:t xml:space="preserve">⚑ VENDOR: </w:t>
            </w:r>
            <w:r>
              <w:rPr>
                <w:rFonts w:ascii="Arial" w:cs="Arial" w:eastAsia="Arial" w:hAnsi="Arial"/>
                <w:sz w:val="18"/>
                <w:szCs w:val="18"/>
              </w:rPr>
              <w:t xml:space="preserve">Feature availability data is based on iManage product documentation and publicly available release notes as of the assessment date. Features marked 'Vendor Confirmation Required' or with qualifiers must be validated in the Dev environment. Native app feature parity with desktop client varies by release; always test the current App Store version.</w:t>
            </w:r>
          </w:p>
        </w:tc>
      </w:tr>
    </w:tbl>
    <w:p>
      <w:pPr>
        <w:pStyle w:val="Heading2"/>
        <w:spacing w:after="80" w:before="240"/>
      </w:pPr>
      <w:r>
        <w:rPr>
          <w:rFonts w:ascii="Arial" w:cs="Arial" w:eastAsia="Arial" w:hAnsi="Arial"/>
          <w:b/>
          <w:bCs/>
          <w:color w:val="2E75B6"/>
          <w:sz w:val="28"/>
          <w:szCs w:val="28"/>
        </w:rPr>
        <w:t xml:space="preserve">7.3 Features Available Only in Native Mobile Application</w:t>
      </w:r>
    </w:p>
    <w:p>
      <w:pPr>
        <w:pStyle w:val="ListParagraph"/>
        <w:numPr>
          <w:ilvl w:val="0"/>
          <w:numId w:val="2"/>
        </w:numPr>
        <w:spacing w:after="40" w:before="40"/>
      </w:pPr>
      <w:r>
        <w:rPr>
          <w:rFonts w:ascii="Arial" w:cs="Arial" w:eastAsia="Arial" w:hAnsi="Arial"/>
          <w:sz w:val="20"/>
          <w:szCs w:val="20"/>
        </w:rPr>
        <w:t xml:space="preserve">Camera integration for document capture – only the native iOS and Android apps support direct camera-to-document workflows</w:t>
      </w:r>
    </w:p>
    <w:p>
      <w:pPr>
        <w:pStyle w:val="ListParagraph"/>
        <w:numPr>
          <w:ilvl w:val="0"/>
          <w:numId w:val="2"/>
        </w:numPr>
        <w:spacing w:after="40" w:before="40"/>
      </w:pPr>
      <w:r>
        <w:rPr>
          <w:rFonts w:ascii="Arial" w:cs="Arial" w:eastAsia="Arial" w:hAnsi="Arial"/>
          <w:sz w:val="20"/>
          <w:szCs w:val="20"/>
        </w:rPr>
        <w:t xml:space="preserve">Push notifications for document activity, filing confirmations, and workspace updates</w:t>
      </w:r>
    </w:p>
    <w:p>
      <w:pPr>
        <w:pStyle w:val="ListParagraph"/>
        <w:numPr>
          <w:ilvl w:val="0"/>
          <w:numId w:val="2"/>
        </w:numPr>
        <w:spacing w:after="40" w:before="40"/>
      </w:pPr>
      <w:r>
        <w:rPr>
          <w:rFonts w:ascii="Arial" w:cs="Arial" w:eastAsia="Arial" w:hAnsi="Arial"/>
          <w:sz w:val="20"/>
          <w:szCs w:val="20"/>
        </w:rPr>
        <w:t xml:space="preserve">Biometric authentication (Touch ID, Face ID) for app unlock without re-authentication to Entra ID</w:t>
      </w:r>
    </w:p>
    <w:p>
      <w:pPr>
        <w:pStyle w:val="ListParagraph"/>
        <w:numPr>
          <w:ilvl w:val="0"/>
          <w:numId w:val="2"/>
        </w:numPr>
        <w:spacing w:after="40" w:before="40"/>
      </w:pPr>
      <w:r>
        <w:rPr>
          <w:rFonts w:ascii="Arial" w:cs="Arial" w:eastAsia="Arial" w:hAnsi="Arial"/>
          <w:sz w:val="20"/>
          <w:szCs w:val="20"/>
        </w:rPr>
        <w:t xml:space="preserve">Native iOS Share Sheet and Android Share integration for filing documents from other apps into iManage</w:t>
      </w:r>
    </w:p>
    <w:p>
      <w:pPr>
        <w:pStyle w:val="ListParagraph"/>
        <w:numPr>
          <w:ilvl w:val="0"/>
          <w:numId w:val="2"/>
        </w:numPr>
        <w:spacing w:after="40" w:before="40"/>
      </w:pPr>
      <w:r>
        <w:rPr>
          <w:rFonts w:ascii="Arial" w:cs="Arial" w:eastAsia="Arial" w:hAnsi="Arial"/>
          <w:sz w:val="20"/>
          <w:szCs w:val="20"/>
        </w:rPr>
        <w:t xml:space="preserve">Offline document access with local encrypted cache synchronized when connectivity is restored</w:t>
      </w:r>
    </w:p>
    <w:p>
      <w:pPr>
        <w:pStyle w:val="Heading2"/>
        <w:spacing w:after="80" w:before="240"/>
      </w:pPr>
      <w:r>
        <w:rPr>
          <w:rFonts w:ascii="Arial" w:cs="Arial" w:eastAsia="Arial" w:hAnsi="Arial"/>
          <w:b/>
          <w:bCs/>
          <w:color w:val="2E75B6"/>
          <w:sz w:val="28"/>
          <w:szCs w:val="28"/>
        </w:rPr>
        <w:t xml:space="preserve">7.4 Intune Integration Requirements</w:t>
      </w:r>
    </w:p>
    <w:p>
      <w:pPr>
        <w:pStyle w:val="ListParagraph"/>
        <w:numPr>
          <w:ilvl w:val="0"/>
          <w:numId w:val="2"/>
        </w:numPr>
        <w:spacing w:after="40" w:before="40"/>
      </w:pPr>
      <w:r>
        <w:rPr>
          <w:rFonts w:ascii="Arial" w:cs="Arial" w:eastAsia="Arial" w:hAnsi="Arial"/>
          <w:sz w:val="20"/>
          <w:szCs w:val="20"/>
        </w:rPr>
        <w:t xml:space="preserve">iManage iOS and Android apps must be enrolled in Intune App Protection Policy (APP) for MAM enforcement</w:t>
      </w:r>
    </w:p>
    <w:p>
      <w:pPr>
        <w:pStyle w:val="ListParagraph"/>
        <w:numPr>
          <w:ilvl w:val="0"/>
          <w:numId w:val="2"/>
        </w:numPr>
        <w:spacing w:after="40" w:before="40"/>
      </w:pPr>
      <w:r>
        <w:rPr>
          <w:rFonts w:ascii="Arial" w:cs="Arial" w:eastAsia="Arial" w:hAnsi="Arial"/>
          <w:sz w:val="20"/>
          <w:szCs w:val="20"/>
        </w:rPr>
        <w:t xml:space="preserve">APP policies should restrict: Save to Device Storage, Copy to Clipboard, Screen Capture, Open with Unmanaged Apps</w:t>
      </w:r>
    </w:p>
    <w:p>
      <w:pPr>
        <w:pStyle w:val="ListParagraph"/>
        <w:numPr>
          <w:ilvl w:val="0"/>
          <w:numId w:val="2"/>
        </w:numPr>
        <w:spacing w:after="40" w:before="40"/>
      </w:pPr>
      <w:r>
        <w:rPr>
          <w:rFonts w:ascii="Arial" w:cs="Arial" w:eastAsia="Arial" w:hAnsi="Arial"/>
          <w:sz w:val="20"/>
          <w:szCs w:val="20"/>
        </w:rPr>
        <w:t xml:space="preserve">Minimum OS version requirement must be enforced via Intune compliance policy aligned to iManage's minimum supported OS version</w:t>
      </w:r>
    </w:p>
    <w:p>
      <w:pPr>
        <w:pStyle w:val="ListParagraph"/>
        <w:numPr>
          <w:ilvl w:val="0"/>
          <w:numId w:val="2"/>
        </w:numPr>
        <w:spacing w:after="40" w:before="40"/>
      </w:pPr>
      <w:r>
        <w:rPr>
          <w:rFonts w:ascii="Arial" w:cs="Arial" w:eastAsia="Arial" w:hAnsi="Arial"/>
          <w:sz w:val="20"/>
          <w:szCs w:val="20"/>
        </w:rPr>
        <w:t xml:space="preserve">App configuration policies (Managed App Config) should be used to pre-configure the iManage server URL and authentication settings</w:t>
      </w:r>
    </w:p>
    <w:p>
      <w:pPr>
        <w:pStyle w:val="ListParagraph"/>
        <w:numPr>
          <w:ilvl w:val="0"/>
          <w:numId w:val="2"/>
        </w:numPr>
        <w:spacing w:after="40" w:before="40"/>
      </w:pPr>
      <w:r>
        <w:rPr>
          <w:rFonts w:ascii="Arial" w:cs="Arial" w:eastAsia="Arial" w:hAnsi="Arial"/>
          <w:sz w:val="20"/>
          <w:szCs w:val="20"/>
        </w:rPr>
        <w:t xml:space="preserve">Managed Devices: For corporate-owned devices under full MDM, additional controls including remote wipe and application management apply</w:t>
      </w:r>
    </w:p>
    <w:p>
      <w:pPr>
        <w:pStyle w:val="ListParagraph"/>
        <w:numPr>
          <w:ilvl w:val="0"/>
          <w:numId w:val="2"/>
        </w:numPr>
        <w:spacing w:after="40" w:before="40"/>
      </w:pPr>
      <w:r>
        <w:rPr>
          <w:rFonts w:ascii="Arial" w:cs="Arial" w:eastAsia="Arial" w:hAnsi="Arial"/>
          <w:sz w:val="20"/>
          <w:szCs w:val="20"/>
        </w:rPr>
        <w:t xml:space="preserve">BYOD / MAM-WE: For personal devices, MAM without enrollment policies must prevent corporate iManage data from leaking to personal app space</w:t>
      </w:r>
    </w:p>
    <w:p>
      <w:r>
        <w:br w:type="page"/>
      </w:r>
    </w:p>
    <w:p>
      <w:pPr>
        <w:pStyle w:val="Heading1"/>
        <w:spacing w:after="120" w:before="360"/>
      </w:pPr>
      <w:r>
        <w:rPr>
          <w:rFonts w:ascii="Arial" w:cs="Arial" w:eastAsia="Arial" w:hAnsi="Arial"/>
          <w:b/>
          <w:bCs/>
          <w:color w:val="1F3864"/>
          <w:sz w:val="36"/>
          <w:szCs w:val="36"/>
        </w:rPr>
        <w:t xml:space="preserve">8. Microsoft Integration Assessment</w:t>
      </w:r>
    </w:p>
    <w:p>
      <w:pPr>
        <w:pBdr>
          <w:bottom w:val="single" w:color="2E75B6" w:sz="8" w:space="1"/>
        </w:pBdr>
        <w:spacing w:after="120" w:before="120"/>
      </w:pPr>
    </w:p>
    <w:p>
      <w:pPr>
        <w:pStyle w:val="Heading2"/>
        <w:spacing w:after="80" w:before="240"/>
      </w:pPr>
      <w:r>
        <w:rPr>
          <w:rFonts w:ascii="Arial" w:cs="Arial" w:eastAsia="Arial" w:hAnsi="Arial"/>
          <w:b/>
          <w:bCs/>
          <w:color w:val="2E75B6"/>
          <w:sz w:val="28"/>
          <w:szCs w:val="28"/>
        </w:rPr>
        <w:t xml:space="preserve">8.1 Microsoft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Data Flow</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Work for Outlook add-in is deployed via Microsoft 365 admin center or Intune (for Outlook desktop). The add-in communicates with iManage Work Cloud API using the authenticated user's SAML session context. Emails are retrieved via Microsoft Graph Mail API (Mail.ReadWrite) and stored in iManage. The add-in also enables opening filed emails from iManage back in Outlook compose window.</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Permissions</w:t>
            </w:r>
          </w:p>
        </w:tc>
        <w:tc>
          <w:tcPr>
            <w:tcW w:type="dxa" w:w="7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Mail.ReadWrite (Delegated), User.Read (Delegated)</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Dependencies</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Graph API, Exchange Online, Outlook add-in sideloading or centralized deployment, Entra ID authentication</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Limitations</w:t>
            </w:r>
          </w:p>
        </w:tc>
        <w:tc>
          <w:tcPr>
            <w:tcW w:type="dxa" w:w="78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Add-in performance may degrade with large attachment volumes. Shared mailbox filing may require additional configuration. Government Community Cloud (GCC) environments may have add-in limitations.</w:t>
            </w:r>
          </w:p>
        </w:tc>
      </w:tr>
    </w:tbl>
    <w:p>
      <w:pPr>
        <w:spacing w:after="80" w:before="80"/>
      </w:pPr>
    </w:p>
    <w:p>
      <w:pPr>
        <w:pStyle w:val="Heading2"/>
        <w:spacing w:after="80" w:before="240"/>
      </w:pPr>
      <w:r>
        <w:rPr>
          <w:rFonts w:ascii="Arial" w:cs="Arial" w:eastAsia="Arial" w:hAnsi="Arial"/>
          <w:b/>
          <w:bCs/>
          <w:color w:val="2E75B6"/>
          <w:sz w:val="28"/>
          <w:szCs w:val="28"/>
        </w:rPr>
        <w:t xml:space="preserve">8.2 Exchange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Data Flow</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Exchange Online serves as the email store accessed by the iManage Outlook add-in via Microsoft Graph Mail endpoints. Calendar data from Exchange Online (meeting invites, appointments) is accessed via Graph Calendars endpoints for meeting filing features.</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Permissions</w:t>
            </w:r>
          </w:p>
        </w:tc>
        <w:tc>
          <w:tcPr>
            <w:tcW w:type="dxa" w:w="7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Mail.ReadWrite (Delegated), Calendars.Read (Delegated)</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Dependencies</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Exchange Online licensing, Microsoft Graph API</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Limitations</w:t>
            </w:r>
          </w:p>
        </w:tc>
        <w:tc>
          <w:tcPr>
            <w:tcW w:type="dxa" w:w="78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Shared mailbox filing requires explicit permission grants. Archiving policies (Exchange retention tags) may conflict with iManage filing workflows.</w:t>
            </w:r>
          </w:p>
        </w:tc>
      </w:tr>
    </w:tbl>
    <w:p>
      <w:pPr>
        <w:spacing w:after="80" w:before="80"/>
      </w:pPr>
    </w:p>
    <w:p>
      <w:pPr>
        <w:pStyle w:val="Heading2"/>
        <w:spacing w:after="80" w:before="240"/>
      </w:pPr>
      <w:r>
        <w:rPr>
          <w:rFonts w:ascii="Arial" w:cs="Arial" w:eastAsia="Arial" w:hAnsi="Arial"/>
          <w:b/>
          <w:bCs/>
          <w:color w:val="2E75B6"/>
          <w:sz w:val="28"/>
          <w:szCs w:val="28"/>
        </w:rPr>
        <w:t xml:space="preserve">8.3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Data Flow</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for Teams is deployed as a Teams application (manifest via Teams admin center). It enables filing of Teams channel messages and meeting recordings to iManage workspaces. The integration uses ChannelMessage.Read.All (Application) for channel message access and Teams meeting metadata via Graph.</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Permissions</w:t>
            </w:r>
          </w:p>
        </w:tc>
        <w:tc>
          <w:tcPr>
            <w:tcW w:type="dxa" w:w="7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ChannelMessage.Read.All (Application), Team.ReadBasic.All (Delegated), Calendars.Read (Delegated), OnlineMeetings.Read (Delegated)</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Dependencies</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Teams, Microsoft Graph API, Teams app deployment approval via Teams admin center</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Limitations</w:t>
            </w:r>
          </w:p>
        </w:tc>
        <w:tc>
          <w:tcPr>
            <w:tcW w:type="dxa" w:w="78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ChannelMessage.Read.All is an application permission requiring admin consent and is tenant-wide in scope. Private channel messages may have different permission requirements. Teams meeting recording filing requires Stream or OneDrive storage configuration.</w:t>
            </w:r>
          </w:p>
        </w:tc>
      </w:tr>
    </w:tbl>
    <w:p>
      <w:pPr>
        <w:spacing w:after="80" w:before="80"/>
      </w:pPr>
    </w:p>
    <w:p>
      <w:pPr>
        <w:pStyle w:val="Heading2"/>
        <w:spacing w:after="80" w:before="240"/>
      </w:pPr>
      <w:r>
        <w:rPr>
          <w:rFonts w:ascii="Arial" w:cs="Arial" w:eastAsia="Arial" w:hAnsi="Arial"/>
          <w:b/>
          <w:bCs/>
          <w:color w:val="2E75B6"/>
          <w:sz w:val="28"/>
          <w:szCs w:val="28"/>
        </w:rPr>
        <w:t xml:space="preserve">8.4 SharePoint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Data Flow</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can synchronize documents with SharePoint Online libraries or enable co-authoring via Office Online. Documents stored in iManage may be surfaced in SharePoint via Graph API or Graph connector. Data flows: iManage → SharePoint (via Sites API) or SharePoint → iManage (import workflow).</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Permissions</w:t>
            </w:r>
          </w:p>
        </w:tc>
        <w:tc>
          <w:tcPr>
            <w:tcW w:type="dxa" w:w="7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Sites.Read.All or Sites.ReadWrite.All (Application – confirm minimum required), Files.ReadWrite (Delegated)</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Dependencies</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SharePoint Online, Microsoft Graph Sites and Drives API</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Limitations</w:t>
            </w:r>
          </w:p>
        </w:tc>
        <w:tc>
          <w:tcPr>
            <w:tcW w:type="dxa" w:w="78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Application-level Sites.ReadWrite.All is tenant-wide; scope cannot currently be limited to specific site collections via Graph API app-only access. Strict governance controls required.</w:t>
            </w:r>
          </w:p>
        </w:tc>
      </w:tr>
    </w:tbl>
    <w:p>
      <w:pPr>
        <w:spacing w:after="80" w:before="80"/>
      </w:pPr>
    </w:p>
    <w:p>
      <w:pPr>
        <w:pStyle w:val="Heading2"/>
        <w:spacing w:after="80" w:before="240"/>
      </w:pPr>
      <w:r>
        <w:rPr>
          <w:rFonts w:ascii="Arial" w:cs="Arial" w:eastAsia="Arial" w:hAnsi="Arial"/>
          <w:b/>
          <w:bCs/>
          <w:color w:val="2E75B6"/>
          <w:sz w:val="28"/>
          <w:szCs w:val="28"/>
        </w:rPr>
        <w:t xml:space="preserve">8.5 OneDrive for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Data Flow</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OneDrive integration enables users to promote OneDrive documents to iManage workspaces and enables co-authoring of iManage documents via Office Online (documents temporarily surfaced in OneDrive for editing). Data flow is bidirectional during co-authoring sessions.</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Permissions</w:t>
            </w:r>
          </w:p>
        </w:tc>
        <w:tc>
          <w:tcPr>
            <w:tcW w:type="dxa" w:w="7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Files.ReadWrite (Delegated), offline_access (Delegated)</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Dependencies</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OneDrive for Business licensing, Microsoft Graph Files API</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Limitations</w:t>
            </w:r>
          </w:p>
        </w:tc>
        <w:tc>
          <w:tcPr>
            <w:tcW w:type="dxa" w:w="78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Co-authoring introduces a temporary copy of the document in OneDrive; DLP policies must account for this transient copy. Document version reconciliation between iManage and OneDrive during concurrent edits requires testing.</w:t>
            </w:r>
          </w:p>
        </w:tc>
      </w:tr>
    </w:tbl>
    <w:p>
      <w:pPr>
        <w:spacing w:after="80" w:before="80"/>
      </w:pPr>
    </w:p>
    <w:p>
      <w:pPr>
        <w:pStyle w:val="Heading2"/>
        <w:spacing w:after="80" w:before="240"/>
      </w:pPr>
      <w:r>
        <w:rPr>
          <w:rFonts w:ascii="Arial" w:cs="Arial" w:eastAsia="Arial" w:hAnsi="Arial"/>
          <w:b/>
          <w:bCs/>
          <w:color w:val="2E75B6"/>
          <w:sz w:val="28"/>
          <w:szCs w:val="28"/>
        </w:rPr>
        <w:t xml:space="preserve">8.6 Microsoft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Data Flow</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Graph serves as the unified API gateway for all iManage ↔ M365 integrations. iManage registers as an Azure AD application and uses OAuth 2.0 client credentials (application) and delegated (user context) token flows to access Graph endpoints. All M365 service integrations flow through Graph.</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Permissions</w:t>
            </w:r>
          </w:p>
        </w:tc>
        <w:tc>
          <w:tcPr>
            <w:tcW w:type="dxa" w:w="7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Aggregate of all permissions listed in Section 4</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Dependencies</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Entra ID app registration, admin consent, token issuance</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Limitations</w:t>
            </w:r>
          </w:p>
        </w:tc>
        <w:tc>
          <w:tcPr>
            <w:tcW w:type="dxa" w:w="78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Graph API rate limits: 10,000 requests per 10 minutes per app per tenant (service-specific limits vary). iManage must implement retry logic and throttling handling. Confirm iManage Graph API rate limit handling with vendor.</w:t>
            </w:r>
          </w:p>
        </w:tc>
      </w:tr>
    </w:tbl>
    <w:p>
      <w:pPr>
        <w:spacing w:after="80" w:before="80"/>
      </w:pPr>
    </w:p>
    <w:p>
      <w:pPr>
        <w:pStyle w:val="Heading2"/>
        <w:spacing w:after="80" w:before="240"/>
      </w:pPr>
      <w:r>
        <w:rPr>
          <w:rFonts w:ascii="Arial" w:cs="Arial" w:eastAsia="Arial" w:hAnsi="Arial"/>
          <w:b/>
          <w:bCs/>
          <w:color w:val="2E75B6"/>
          <w:sz w:val="28"/>
          <w:szCs w:val="28"/>
        </w:rPr>
        <w:t xml:space="preserve">8.7 Microsoft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Data Flow</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can surface documents stored in iManage Work Cloud in Microsoft Search results via a Microsoft Graph connector. The connector indexes iManage content and makes it discoverable from Microsoft Search in SharePoint, Outlook, Teams, and Windows Search.</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Permissions</w:t>
            </w:r>
          </w:p>
        </w:tc>
        <w:tc>
          <w:tcPr>
            <w:tcW w:type="dxa" w:w="7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ExternalConnection.ReadWrite.OwnedBy or ExternalConnection.ReadWrite.All (Application) – for connector management; content read permissions as above</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Dependencies</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Search, Microsoft Graph connectors, Microsoft 365 E5 or Search licensing</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Limitations</w:t>
            </w:r>
          </w:p>
        </w:tc>
        <w:tc>
          <w:tcPr>
            <w:tcW w:type="dxa" w:w="78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Graph connector indexing has rate limits. Search result presentation in Microsoft 365 may require additional configuration. Confirm iManage Graph connector availability and setup process.</w:t>
            </w:r>
          </w:p>
        </w:tc>
      </w:tr>
    </w:tbl>
    <w:p>
      <w:pPr>
        <w:spacing w:after="80" w:before="80"/>
      </w:pPr>
    </w:p>
    <w:p>
      <w:pPr>
        <w:pStyle w:val="Heading2"/>
        <w:spacing w:after="80" w:before="240"/>
      </w:pPr>
      <w:r>
        <w:rPr>
          <w:rFonts w:ascii="Arial" w:cs="Arial" w:eastAsia="Arial" w:hAnsi="Arial"/>
          <w:b/>
          <w:bCs/>
          <w:color w:val="2E75B6"/>
          <w:sz w:val="28"/>
          <w:szCs w:val="28"/>
        </w:rPr>
        <w:t xml:space="preserve">8.8 Microsoft Purview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Data Flow</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Integration is indirect: documents passing through M365 services (Exchange Online, SharePoint, Teams) are subject to Purview DLP and sensitivity label policies. iManage does not natively apply or consume Purview sensitivity labels stored within iManage. Documents exported from iManage to M365 channels will be evaluated by Purview at that point.</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Permissions</w:t>
            </w:r>
          </w:p>
        </w:tc>
        <w:tc>
          <w:tcPr>
            <w:tcW w:type="dxa" w:w="7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No direct Graph permissions required for Purview integration; policies enforce on M365 service side</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Dependencies</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Purview (Information Protection, DLP, Compliance), M365 E5 Compliance or Information Protection licensing</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Limitations</w:t>
            </w:r>
          </w:p>
        </w:tc>
        <w:tc>
          <w:tcPr>
            <w:tcW w:type="dxa" w:w="78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Purview policies do not apply directly to documents stored within iManage at rest. iManage's own security model (NTK, ACLs) is independent of Purview. Custom DLP connectors or API-based integration may be explored but require significant custom development.</w:t>
            </w:r>
          </w:p>
        </w:tc>
      </w:tr>
    </w:tbl>
    <w:p>
      <w:pPr>
        <w:spacing w:after="80" w:before="80"/>
      </w:pPr>
    </w:p>
    <w:p>
      <w:pPr>
        <w:pStyle w:val="Heading2"/>
        <w:spacing w:after="80" w:before="240"/>
      </w:pPr>
      <w:r>
        <w:rPr>
          <w:rFonts w:ascii="Arial" w:cs="Arial" w:eastAsia="Arial" w:hAnsi="Arial"/>
          <w:b/>
          <w:bCs/>
          <w:color w:val="2E75B6"/>
          <w:sz w:val="28"/>
          <w:szCs w:val="28"/>
        </w:rPr>
        <w:t xml:space="preserve">8.9 Microsoft Defender for Cloud Apps (MDCA)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Data Flow</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Work Cloud should be onboarded to MDCA as a sanctioned application. MDCA provides visibility into iManage access patterns, file downloads, sharing activities, and anomalous behavior detection. Log streaming from iManage audit logs to MDCA can enable UEBA-based risk scoring.</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Permissions</w:t>
            </w:r>
          </w:p>
        </w:tc>
        <w:tc>
          <w:tcPr>
            <w:tcW w:type="dxa" w:w="7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MDCA connector requires iManage API access; connector type depends on MDCA's iManage connector availability (confirm in MDCA app catalog)</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Dependencies</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Defender for Cloud Apps, Microsoft 365 E5 Security licensing</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Limitations</w:t>
            </w:r>
          </w:p>
        </w:tc>
        <w:tc>
          <w:tcPr>
            <w:tcW w:type="dxa" w:w="78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MDCA native connector for iManage may not exist; custom API connector or log-based integration may be required. Confirm connector availability with Microsoft and iManage.</w:t>
            </w:r>
          </w:p>
        </w:tc>
      </w:tr>
    </w:tbl>
    <w:p>
      <w:pPr>
        <w:spacing w:after="80" w:before="80"/>
      </w:pPr>
    </w:p>
    <w:p>
      <w:pPr>
        <w:pStyle w:val="Heading2"/>
        <w:spacing w:after="80" w:before="240"/>
      </w:pPr>
      <w:r>
        <w:rPr>
          <w:rFonts w:ascii="Arial" w:cs="Arial" w:eastAsia="Arial" w:hAnsi="Arial"/>
          <w:b/>
          <w:bCs/>
          <w:color w:val="2E75B6"/>
          <w:sz w:val="28"/>
          <w:szCs w:val="28"/>
        </w:rPr>
        <w:t xml:space="preserve">8.10 Microsoft Intune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Data Flow</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manages the deployment of iManage Outlook add-in (via M365 Apps managed deployment), iManage mobile apps (iOS and Android via Intune App Store), and enforces App Protection Policies on mobile iManage access. Device compliance policies enforced by Intune are evaluated by Entra ID Conditional Access before granting iManage access.</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Permissions</w:t>
            </w:r>
          </w:p>
        </w:tc>
        <w:tc>
          <w:tcPr>
            <w:tcW w:type="dxa" w:w="78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bCs/>
                <w:color w:val="2E75B6"/>
                <w:sz w:val="17"/>
                <w:szCs w:val="17"/>
              </w:rPr>
              <w:t xml:space="preserve">No direct Graph permissions for Intune integration; Intune management operates at the device and app layer</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Dependencies</w:t>
            </w:r>
          </w:p>
        </w:tc>
        <w:tc>
          <w:tcPr>
            <w:tcW w:type="dxa" w:w="7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Intune licensing (included in M365 E5), Entra ID device registration, Company Portal app</w:t>
            </w:r>
          </w:p>
        </w:tc>
      </w:tr>
      <w:tr>
        <w:tc>
          <w:tcPr>
            <w:tcW w:type="dxa" w:w="156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Limitations</w:t>
            </w:r>
          </w:p>
        </w:tc>
        <w:tc>
          <w:tcPr>
            <w:tcW w:type="dxa" w:w="78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Intune SDK version must match Intune service version for full MAM policy support. Confirm iManage app SDK version with vendor.</w:t>
            </w:r>
          </w:p>
        </w:tc>
      </w:tr>
    </w:tbl>
    <w:p>
      <w:pPr>
        <w:spacing w:after="80" w:before="80"/>
      </w:pPr>
    </w:p>
    <w:p>
      <w:r>
        <w:br w:type="page"/>
      </w:r>
    </w:p>
    <w:p>
      <w:pPr>
        <w:pStyle w:val="Heading1"/>
        <w:spacing w:after="120" w:before="360"/>
      </w:pPr>
      <w:r>
        <w:rPr>
          <w:rFonts w:ascii="Arial" w:cs="Arial" w:eastAsia="Arial" w:hAnsi="Arial"/>
          <w:b/>
          <w:bCs/>
          <w:color w:val="1F3864"/>
          <w:sz w:val="36"/>
          <w:szCs w:val="36"/>
        </w:rPr>
        <w:t xml:space="preserve">9. Open Questions for Vendor</w:t>
      </w:r>
    </w:p>
    <w:p>
      <w:pPr>
        <w:pBdr>
          <w:bottom w:val="single" w:color="2E75B6" w:sz="8" w:space="1"/>
        </w:pBdr>
        <w:spacing w:after="120" w:before="120"/>
      </w:pPr>
    </w:p>
    <w:p>
      <w:pPr>
        <w:spacing w:after="60" w:before="60"/>
      </w:pPr>
      <w:r>
        <w:rPr>
          <w:rFonts w:ascii="Arial" w:cs="Arial" w:eastAsia="Arial" w:hAnsi="Arial"/>
          <w:sz w:val="20"/>
          <w:szCs w:val="20"/>
        </w:rPr>
        <w:t xml:space="preserve">The following questions are prioritized for the vendor engagement process. Items marked 'Formal vendor attestation required' must be answered in writing before production go-live approval. Questions are assigned priority ratings P1 (Critical) through P4 (Low) based on their impact on security, compliance, and deployment timelines.</w:t>
      </w:r>
    </w:p>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300"/>
        <w:gridCol w:w="4780"/>
        <w:gridCol w:w="2240"/>
      </w:tblGrid>
      <w:tr>
        <w:tc>
          <w:tcPr>
            <w:tcW w:type="dxa" w:w="10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13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478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Question</w:t>
            </w:r>
          </w:p>
        </w:tc>
        <w:tc>
          <w:tcPr>
            <w:tcW w:type="dxa" w:w="22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 Required</w:t>
            </w:r>
          </w:p>
        </w:tc>
      </w:tr>
      <w:tr>
        <w:tc>
          <w:tcPr>
            <w:tcW w:type="dxa" w:w="104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P1 – CRITICAL</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Graph Permissions</w:t>
            </w:r>
          </w:p>
        </w:tc>
        <w:tc>
          <w:tcPr>
            <w:tcW w:type="dxa" w:w="4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What is the complete and current list of Microsoft Graph API permissions required for each iManage feature (Outlook filing, Teams, SharePoint, OneDrive, Search)? Please provide the permission name, type (delegated/application), and admin consent requirement for each.</w:t>
            </w:r>
          </w:p>
        </w:tc>
        <w:tc>
          <w:tcPr>
            <w:tcW w:type="dxa" w:w="224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Formal written attestation required</w:t>
            </w:r>
          </w:p>
        </w:tc>
      </w:tr>
      <w:tr>
        <w:tc>
          <w:tcPr>
            <w:tcW w:type="dxa" w:w="104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P1 – CRITICAL</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Data Residency</w:t>
            </w:r>
          </w:p>
        </w:tc>
        <w:tc>
          <w:tcPr>
            <w:tcW w:type="dxa" w:w="47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Confirm the Azure region(s) where iManage Work Cloud customer data (primary, backup, DR replica) is stored for Canadian-region tenants. Provide contractual data residency commitments.</w:t>
            </w:r>
          </w:p>
        </w:tc>
        <w:tc>
          <w:tcPr>
            <w:tcW w:type="dxa" w:w="224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Formal vendor attestation required</w:t>
            </w:r>
          </w:p>
        </w:tc>
      </w:tr>
      <w:tr>
        <w:tc>
          <w:tcPr>
            <w:tcW w:type="dxa" w:w="104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P1 – CRITICAL</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SCIM 2.0 Support</w:t>
            </w:r>
          </w:p>
        </w:tc>
        <w:tc>
          <w:tcPr>
            <w:tcW w:type="dxa" w:w="4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Does iManage Work Cloud support SCIM 2.0 for automated user provisioning from Microsoft Entra ID? If yes, provide the SCIM endpoint URL format, supported SCIM operations (create, update, deactivate), and attribute mapping documentation.</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Formal written confirmation required</w:t>
            </w:r>
          </w:p>
        </w:tc>
      </w:tr>
      <w:tr>
        <w:tc>
          <w:tcPr>
            <w:tcW w:type="dxa" w:w="104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P1 – CRITICAL</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MAM / Intune SDK</w:t>
            </w:r>
          </w:p>
        </w:tc>
        <w:tc>
          <w:tcPr>
            <w:tcW w:type="dxa" w:w="47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What version of the Microsoft Intune SDK is integrated in the current iOS and Android iManage Work applications? Are MAM-WE (App Protection Policies without MDM enrollment) policies fully supported?</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Formal written confirmation required</w:t>
            </w:r>
          </w:p>
        </w:tc>
      </w:tr>
      <w:tr>
        <w:tc>
          <w:tcPr>
            <w:tcW w:type="dxa" w:w="104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C0392B"/>
                <w:sz w:val="17"/>
                <w:szCs w:val="17"/>
              </w:rPr>
              <w:t xml:space="preserve">P1 – CRITICAL</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Customer-Managed Keys</w:t>
            </w:r>
          </w:p>
        </w:tc>
        <w:tc>
          <w:tcPr>
            <w:tcW w:type="dxa" w:w="4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Does iManage Work Cloud support Customer-Managed Keys (CMK) via Azure Key Vault (BYOK)? If yes, what is the scope of encryption covered (documents, metadata, email, indexes), and is there an additional cost?</w:t>
            </w:r>
          </w:p>
        </w:tc>
        <w:tc>
          <w:tcPr>
            <w:tcW w:type="dxa" w:w="224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Formal vendor attestation required</w:t>
            </w:r>
          </w:p>
        </w:tc>
      </w:tr>
      <w:tr>
        <w:tc>
          <w:tcPr>
            <w:tcW w:type="dxa" w:w="104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P2 – HIGH</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API Rate Limits</w:t>
            </w:r>
          </w:p>
        </w:tc>
        <w:tc>
          <w:tcPr>
            <w:tcW w:type="dxa" w:w="47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What are the iManage Work Cloud API rate limits (requests per second, per minute, per day) for the Graph-based integrations? How does iManage handle throttling and retry logic?</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Technical documentation requested</w:t>
            </w:r>
          </w:p>
        </w:tc>
      </w:tr>
      <w:tr>
        <w:tc>
          <w:tcPr>
            <w:tcW w:type="dxa" w:w="104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P2 – HIGH</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Conditional Access Exceptions</w:t>
            </w:r>
          </w:p>
        </w:tc>
        <w:tc>
          <w:tcPr>
            <w:tcW w:type="dxa" w:w="4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Are there any known Conditional Access policy configurations that are incompatible with iManage Work Cloud authentication flows (e.g., token lifetime policies, persistent browser session controls, sign-in frequency)?</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Technical documentation requested</w:t>
            </w:r>
          </w:p>
        </w:tc>
      </w:tr>
      <w:tr>
        <w:tc>
          <w:tcPr>
            <w:tcW w:type="dxa" w:w="104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P2 – HIGH</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SIEM Integration</w:t>
            </w:r>
          </w:p>
        </w:tc>
        <w:tc>
          <w:tcPr>
            <w:tcW w:type="dxa" w:w="47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What SIEM integration options are available for iManage audit logs? Is there a native Microsoft Sentinel connector, CEF/Syslog export, or REST API for log streaming? What log fields are included in the audit event schema?</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Technical documentation requested</w:t>
            </w:r>
          </w:p>
        </w:tc>
      </w:tr>
      <w:tr>
        <w:tc>
          <w:tcPr>
            <w:tcW w:type="dxa" w:w="104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P2 – HIGH</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Audit Log Completeness</w:t>
            </w:r>
          </w:p>
        </w:tc>
        <w:tc>
          <w:tcPr>
            <w:tcW w:type="dxa" w:w="4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Provide a complete list of auditable events in iManage Work Cloud (authentication, document access, filing, check-out/in, sharing, admin actions). What is the maximum audit log retention period?</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Technical documentation requested</w:t>
            </w:r>
          </w:p>
        </w:tc>
      </w:tr>
      <w:tr>
        <w:tc>
          <w:tcPr>
            <w:tcW w:type="dxa" w:w="104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P2 – HIGH</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DLP Integration</w:t>
            </w:r>
          </w:p>
        </w:tc>
        <w:tc>
          <w:tcPr>
            <w:tcW w:type="dxa" w:w="47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Does iManage Work Cloud integrate with Microsoft Purview DLP policies for documents stored in iManage? If yes, describe the integration mechanism. If no, what native DLP controls does iManage provide?</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Vendor confirmation required</w:t>
            </w:r>
          </w:p>
        </w:tc>
      </w:tr>
      <w:tr>
        <w:tc>
          <w:tcPr>
            <w:tcW w:type="dxa" w:w="10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P3 – MEDIUM</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Teams Filing – Private Channels</w:t>
            </w:r>
          </w:p>
        </w:tc>
        <w:tc>
          <w:tcPr>
            <w:tcW w:type="dxa" w:w="4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Does the Teams conversation filing feature support private channels? Are additional permissions required beyond ChannelMessage.Read.All for private channel access?</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Technical documentation requested</w:t>
            </w:r>
          </w:p>
        </w:tc>
      </w:tr>
      <w:tr>
        <w:tc>
          <w:tcPr>
            <w:tcW w:type="dxa" w:w="10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P3 – MEDIUM</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SharePoint Integration Scope</w:t>
            </w:r>
          </w:p>
        </w:tc>
        <w:tc>
          <w:tcPr>
            <w:tcW w:type="dxa" w:w="47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Can the SharePoint Online integration be scoped to specific site collections rather than requiring tenant-wide Sites.ReadWrite.All application permission? Is Sites.Read.All sufficient for the integration?</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Technical documentation requested</w:t>
            </w:r>
          </w:p>
        </w:tc>
      </w:tr>
      <w:tr>
        <w:tc>
          <w:tcPr>
            <w:tcW w:type="dxa" w:w="10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P3 – MEDIUM</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Mobile Feature Parity</w:t>
            </w:r>
          </w:p>
        </w:tc>
        <w:tc>
          <w:tcPr>
            <w:tcW w:type="dxa" w:w="4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Provide a feature parity matrix comparing iManage iOS native app, Android native app, and web browser (mobile) access. Identify any features exclusive to native apps.</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Technical documentation requested</w:t>
            </w:r>
          </w:p>
        </w:tc>
      </w:tr>
      <w:tr>
        <w:tc>
          <w:tcPr>
            <w:tcW w:type="dxa" w:w="10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P3 – MEDIUM</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Roadmap – SCIM / Entra ID Provisioning</w:t>
            </w:r>
          </w:p>
        </w:tc>
        <w:tc>
          <w:tcPr>
            <w:tcW w:type="dxa" w:w="47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If SCIM 2.0 is not currently supported, is it on the iManage product roadmap? What is the expected release timeline?</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Vendor confirmation requested</w:t>
            </w:r>
          </w:p>
        </w:tc>
      </w:tr>
      <w:tr>
        <w:tc>
          <w:tcPr>
            <w:tcW w:type="dxa" w:w="10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P3 – MEDIUM</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Break-Glass Account Support</w:t>
            </w:r>
          </w:p>
        </w:tc>
        <w:tc>
          <w:tcPr>
            <w:tcW w:type="dxa" w:w="4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Does iManage Control Center support local (non-SSO) admin accounts for break-glass scenarios? What is the process for enabling and securing local admin credentials?</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Vendor confirmation requested</w:t>
            </w:r>
          </w:p>
        </w:tc>
      </w:tr>
      <w:tr>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P4 – LOW</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TLS Version Support</w:t>
            </w:r>
          </w:p>
        </w:tc>
        <w:tc>
          <w:tcPr>
            <w:tcW w:type="dxa" w:w="47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Confirm the minimum TLS version supported by iManage Work Cloud for client connections and service-to-service communication. Is TLS 1.3 supported?</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Technical documentation requested</w:t>
            </w:r>
          </w:p>
        </w:tc>
      </w:tr>
      <w:tr>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P4 – LOW</w:t>
            </w:r>
          </w:p>
        </w:tc>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Microsoft Defender for Cloud Apps Connector</w:t>
            </w:r>
          </w:p>
        </w:tc>
        <w:tc>
          <w:tcPr>
            <w:tcW w:type="dxa" w:w="47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Is there a native iManage connector available in Microsoft Defender for Cloud Apps? If not, what log formats or APIs are available for MDCA integration?</w:t>
            </w:r>
          </w:p>
        </w:tc>
        <w:tc>
          <w:tcPr>
            <w:tcW w:type="dxa" w:w="224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Vendor confirmation requested</w:t>
            </w:r>
          </w:p>
        </w:tc>
      </w:tr>
    </w:tbl>
    <w:p>
      <w:r>
        <w:br w:type="page"/>
      </w:r>
    </w:p>
    <w:p>
      <w:pPr>
        <w:pStyle w:val="Heading1"/>
        <w:spacing w:after="120" w:before="360"/>
      </w:pPr>
      <w:r>
        <w:rPr>
          <w:rFonts w:ascii="Arial" w:cs="Arial" w:eastAsia="Arial" w:hAnsi="Arial"/>
          <w:b/>
          <w:bCs/>
          <w:color w:val="1F3864"/>
          <w:sz w:val="36"/>
          <w:szCs w:val="36"/>
        </w:rPr>
        <w:t xml:space="preserve">10. Deliverables</w:t>
      </w:r>
    </w:p>
    <w:p>
      <w:pPr>
        <w:pBdr>
          <w:bottom w:val="single" w:color="2E75B6" w:sz="8" w:space="1"/>
        </w:pBdr>
        <w:spacing w:after="120" w:before="120"/>
      </w:pPr>
    </w:p>
    <w:p>
      <w:pPr>
        <w:pStyle w:val="Heading2"/>
        <w:spacing w:after="80" w:before="240"/>
      </w:pPr>
      <w:r>
        <w:rPr>
          <w:rFonts w:ascii="Arial" w:cs="Arial" w:eastAsia="Arial" w:hAnsi="Arial"/>
          <w:b/>
          <w:bCs/>
          <w:color w:val="2E75B6"/>
          <w:sz w:val="28"/>
          <w:szCs w:val="28"/>
        </w:rPr>
        <w:t xml:space="preserve">10.1 Onboarding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160"/>
        <w:gridCol w:w="2080"/>
        <w:gridCol w:w="1820"/>
      </w:tblGrid>
      <w:tr>
        <w:tc>
          <w:tcPr>
            <w:tcW w:type="dxa" w:w="13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41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Checklist Item</w:t>
            </w:r>
          </w:p>
        </w:tc>
        <w:tc>
          <w:tcPr>
            <w:tcW w:type="dxa" w:w="208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82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IAM</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Entra ID Enterprise Application registered for Dev environment</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82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IAM</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SAML 2.0 SP metadata obtained from iManage and configured in Entra ID</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82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IAM</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Required claims mapping configured (NameID, email, givenname, surname, displayname)</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82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IAM</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SAML signing certificate registered in certificate management system with expiry alerts</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82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IAM</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Break-glass accounts created in iManage Control Center and credentials stored in PAM vault</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82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Pre-Production</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IAM</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 provisioning method confirmed (SCIM or JIT) and configured</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IAM</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Group-to-role mapping configured in iManage Control Center</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Test</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Graph permission request documented and reviewed by Security Architecture</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82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Admin consent granted for minimum required permissions in Dev</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 + Cloud Eng</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Conditional Access policy testing completed (Dev and Test)</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Test</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Data residency confirmed in writing from iManage for Canadian region</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82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Pre-Production</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SOC 2 Type II report reviewed and findings documented</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82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Pre-Production</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SIEM integration configured and audit log validation completed</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Test</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DLP policy review for email filing and document export workflows</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Test</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Mobile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iOS app deployed via Intune to Dev test devices</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Engineering</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Mobile</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Android app deployed via Intune to Dev test devices</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Engineering</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Mobile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App Protection Policy (MAM) configured and validated on iOS</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Engineering</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Mobile</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App Protection Policy (MAM) configured and validated on Android</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Engineering</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Mobile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Conditional Access policy for mobile access tested (compliant device requirement)</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Engineering + Security</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Test</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Integration</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for Outlook add-in deployed to Dev test users via M365 Admin Center</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Cloud Engineering</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Integration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Outlook email filing workflow tested end-to-end</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Team + IAM</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Integration</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for Teams app deployed to Dev Teams environment</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Cloud Engineering</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Integration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Teams conversation filing workflow tested</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Team</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Test</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Integration</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Graph permission scope validation completed (confirm minimal permissions)</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 Cloud Engineering</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Dev</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Business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Pilot user group identified (50 users, cross-BU)</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Program Manager</w:t>
            </w:r>
          </w:p>
        </w:tc>
        <w:tc>
          <w:tcPr>
            <w:tcW w:type="dxa" w:w="182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Pre-Production</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Business</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Helpdesk training completed before Pilot wave</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Program Manager</w:t>
            </w:r>
          </w:p>
        </w:tc>
        <w:tc>
          <w:tcPr>
            <w:tcW w:type="dxa" w:w="182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Pre-Production</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Business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 acceptance testing sign-off from business stakeholders</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Program Manager</w:t>
            </w:r>
          </w:p>
        </w:tc>
        <w:tc>
          <w:tcPr>
            <w:tcW w:type="dxa" w:w="18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Test</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Go-Live</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Production Entra ID Enterprise Application registered and SAML configured</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82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Pre-Production</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Go-Live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Admin consent granted for production permissions</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 + CISO</w:t>
            </w:r>
          </w:p>
        </w:tc>
        <w:tc>
          <w:tcPr>
            <w:tcW w:type="dxa" w:w="182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Pre-Production</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Go-Live</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Go-live readiness checklist signed off by all workstream leads</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Program Manager</w:t>
            </w:r>
          </w:p>
        </w:tc>
        <w:tc>
          <w:tcPr>
            <w:tcW w:type="dxa" w:w="182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Go-Live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Go-Live</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Rollback procedure documented and tested</w:t>
            </w:r>
          </w:p>
        </w:tc>
        <w:tc>
          <w:tcPr>
            <w:tcW w:type="dxa" w:w="2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Cloud Engineering + IAM</w:t>
            </w:r>
          </w:p>
        </w:tc>
        <w:tc>
          <w:tcPr>
            <w:tcW w:type="dxa" w:w="182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Pre-Production</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Go-Live</w:t>
            </w:r>
          </w:p>
        </w:tc>
        <w:tc>
          <w:tcPr>
            <w:tcW w:type="dxa" w:w="41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Hypercare plan activated (24/7 support for first 2 weeks post-go-live)</w:t>
            </w:r>
          </w:p>
        </w:tc>
        <w:tc>
          <w:tcPr>
            <w:tcW w:type="dxa" w:w="208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Program Manager</w:t>
            </w:r>
          </w:p>
        </w:tc>
        <w:tc>
          <w:tcPr>
            <w:tcW w:type="dxa" w:w="182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Go-Live</w:t>
            </w:r>
          </w:p>
        </w:tc>
      </w:tr>
    </w:tbl>
    <w:p>
      <w:r>
        <w:br w:type="page"/>
      </w:r>
    </w:p>
    <w:p>
      <w:pPr>
        <w:pStyle w:val="Heading2"/>
        <w:spacing w:after="80" w:before="240"/>
      </w:pPr>
      <w:r>
        <w:rPr>
          <w:rFonts w:ascii="Arial" w:cs="Arial" w:eastAsia="Arial" w:hAnsi="Arial"/>
          <w:b/>
          <w:bCs/>
          <w:color w:val="2E75B6"/>
          <w:sz w:val="28"/>
          <w:szCs w:val="28"/>
        </w:rPr>
        <w:t xml:space="preserve">10.2 RACI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000"/>
        <w:gridCol w:w="1000"/>
        <w:gridCol w:w="1000"/>
        <w:gridCol w:w="1000"/>
        <w:gridCol w:w="1000"/>
        <w:gridCol w:w="1000"/>
      </w:tblGrid>
      <w:tr>
        <w:tc>
          <w:tcPr>
            <w:tcW w:type="dxa" w:w="33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Activity</w:t>
            </w:r>
          </w:p>
        </w:tc>
        <w:tc>
          <w:tcPr>
            <w:tcW w:type="dxa" w:w="10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IAM Eng</w:t>
            </w:r>
          </w:p>
        </w:tc>
        <w:tc>
          <w:tcPr>
            <w:tcW w:type="dxa" w:w="10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Cloud Eng</w:t>
            </w:r>
          </w:p>
        </w:tc>
        <w:tc>
          <w:tcPr>
            <w:tcW w:type="dxa" w:w="10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Security</w:t>
            </w:r>
          </w:p>
        </w:tc>
        <w:tc>
          <w:tcPr>
            <w:tcW w:type="dxa" w:w="10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DMS Team</w:t>
            </w:r>
          </w:p>
        </w:tc>
        <w:tc>
          <w:tcPr>
            <w:tcW w:type="dxa" w:w="10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CISO / Bus.</w:t>
            </w:r>
          </w:p>
        </w:tc>
      </w:tr>
      <w:tr>
        <w:tc>
          <w:tcPr>
            <w:tcW w:type="dxa" w:w="336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top"/>
          </w:tcPr>
          <w:p>
            <w:pPr>
              <w:jc w:val="left"/>
            </w:pPr>
            <w:r>
              <w:rPr>
                <w:rFonts w:ascii="Arial" w:cs="Arial" w:eastAsia="Arial" w:hAnsi="Arial"/>
                <w:b/>
                <w:bCs/>
                <w:color w:val="FFFFFF"/>
                <w:sz w:val="17"/>
                <w:szCs w:val="17"/>
              </w:rPr>
              <w:t xml:space="preserve">Activity</w:t>
            </w:r>
          </w:p>
        </w:tc>
        <w:tc>
          <w:tcPr>
            <w:tcW w:type="dxa" w:w="10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top"/>
          </w:tcPr>
          <w:p>
            <w:pPr>
              <w:jc w:val="center"/>
            </w:pPr>
            <w:r>
              <w:rPr>
                <w:rFonts w:ascii="Arial" w:cs="Arial" w:eastAsia="Arial" w:hAnsi="Arial"/>
                <w:b/>
                <w:bCs/>
                <w:color w:val="FFFFFF"/>
                <w:sz w:val="17"/>
                <w:szCs w:val="17"/>
              </w:rPr>
              <w:t xml:space="preserve">IAM Eng</w:t>
            </w:r>
          </w:p>
        </w:tc>
        <w:tc>
          <w:tcPr>
            <w:tcW w:type="dxa" w:w="10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top"/>
          </w:tcPr>
          <w:p>
            <w:pPr>
              <w:jc w:val="center"/>
            </w:pPr>
            <w:r>
              <w:rPr>
                <w:rFonts w:ascii="Arial" w:cs="Arial" w:eastAsia="Arial" w:hAnsi="Arial"/>
                <w:b/>
                <w:bCs/>
                <w:color w:val="FFFFFF"/>
                <w:sz w:val="17"/>
                <w:szCs w:val="17"/>
              </w:rPr>
              <w:t xml:space="preserve">Cloud Eng</w:t>
            </w:r>
          </w:p>
        </w:tc>
        <w:tc>
          <w:tcPr>
            <w:tcW w:type="dxa" w:w="10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top"/>
          </w:tcPr>
          <w:p>
            <w:pPr>
              <w:jc w:val="center"/>
            </w:pPr>
            <w:r>
              <w:rPr>
                <w:rFonts w:ascii="Arial" w:cs="Arial" w:eastAsia="Arial" w:hAnsi="Arial"/>
                <w:b/>
                <w:bCs/>
                <w:color w:val="FFFFFF"/>
                <w:sz w:val="17"/>
                <w:szCs w:val="17"/>
              </w:rPr>
              <w:t xml:space="preserve">Security</w:t>
            </w:r>
          </w:p>
        </w:tc>
        <w:tc>
          <w:tcPr>
            <w:tcW w:type="dxa" w:w="10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top"/>
          </w:tcPr>
          <w:p>
            <w:pPr>
              <w:jc w:val="center"/>
            </w:pPr>
            <w:r>
              <w:rPr>
                <w:rFonts w:ascii="Arial" w:cs="Arial" w:eastAsia="Arial" w:hAnsi="Arial"/>
                <w:b/>
                <w:bCs/>
                <w:color w:val="FFFFFF"/>
                <w:sz w:val="17"/>
                <w:szCs w:val="17"/>
              </w:rPr>
              <w:t xml:space="preserve">DMS Team</w:t>
            </w:r>
          </w:p>
        </w:tc>
        <w:tc>
          <w:tcPr>
            <w:tcW w:type="dxa" w:w="1000"/>
            <w:tcBorders>
              <w:top w:val="single" w:color="CCCCCC" w:sz="4"/>
              <w:left w:val="single" w:color="CCCCCC" w:sz="4"/>
              <w:bottom w:val="single" w:color="CCCCCC" w:sz="4"/>
              <w:right w:val="single" w:color="CCCCCC" w:sz="4"/>
            </w:tcBorders>
            <w:shd w:fill="1F3864" w:val="clear"/>
            <w:tcMar>
              <w:top w:type="dxa" w:w="60"/>
              <w:left w:type="dxa" w:w="120"/>
              <w:bottom w:type="dxa" w:w="60"/>
              <w:right w:type="dxa" w:w="120"/>
            </w:tcMar>
            <w:vAlign w:val="top"/>
          </w:tcPr>
          <w:p>
            <w:pPr>
              <w:jc w:val="center"/>
            </w:pPr>
            <w:r>
              <w:rPr>
                <w:rFonts w:ascii="Arial" w:cs="Arial" w:eastAsia="Arial" w:hAnsi="Arial"/>
                <w:b/>
                <w:bCs/>
                <w:color w:val="FFFFFF"/>
                <w:sz w:val="17"/>
                <w:szCs w:val="17"/>
              </w:rPr>
              <w:t xml:space="preserve">CISO/Bus.</w:t>
            </w:r>
          </w:p>
        </w:tc>
      </w:tr>
      <w:tr>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Entra ID Enterprise App Registration</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r>
      <w:tr>
        <w:tc>
          <w:tcPr>
            <w:tcW w:type="dxa" w:w="33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SAML 2.0 Configuration</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r>
      <w:tr>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Graph Permission Approval</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r>
      <w:tr>
        <w:tc>
          <w:tcPr>
            <w:tcW w:type="dxa" w:w="33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Admin Consent Grant (Production)</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r>
      <w:tr>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Conditional Access Policy Design</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r>
      <w:tr>
        <w:tc>
          <w:tcPr>
            <w:tcW w:type="dxa" w:w="33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MAM Policy Configuration</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r>
      <w:tr>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Control Center Configuration</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w:t>
            </w:r>
          </w:p>
        </w:tc>
      </w:tr>
      <w:tr>
        <w:tc>
          <w:tcPr>
            <w:tcW w:type="dxa" w:w="33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 Provisioning Configuration</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w:t>
            </w:r>
          </w:p>
        </w:tc>
      </w:tr>
      <w:tr>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SIEM Integration</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r>
      <w:tr>
        <w:tc>
          <w:tcPr>
            <w:tcW w:type="dxa" w:w="33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Risk Acceptance</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r>
      <w:tr>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Break-Glass Account Setup</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r>
      <w:tr>
        <w:tc>
          <w:tcPr>
            <w:tcW w:type="dxa" w:w="33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Business UAT Sign-Off</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w:t>
            </w:r>
          </w:p>
        </w:tc>
      </w:tr>
      <w:tr>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Go-Live Approval</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r>
      <w:tr>
        <w:tc>
          <w:tcPr>
            <w:tcW w:type="dxa" w:w="33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Hypercare Coordination</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C</w:t>
            </w:r>
          </w:p>
        </w:tc>
        <w:tc>
          <w:tcPr>
            <w:tcW w:type="dxa" w:w="100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I</w:t>
            </w:r>
          </w:p>
        </w:tc>
        <w:tc>
          <w:tcPr>
            <w:tcW w:type="dxa" w:w="10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R</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A</w:t>
            </w:r>
          </w:p>
        </w:tc>
      </w:tr>
    </w:tbl>
    <w:p>
      <w:pPr>
        <w:spacing w:after="60" w:before="60"/>
      </w:pPr>
      <w:r>
        <w:rPr>
          <w:rFonts w:ascii="Arial" w:cs="Arial" w:eastAsia="Arial" w:hAnsi="Arial"/>
          <w:i/>
          <w:iCs/>
          <w:color w:val="555555"/>
          <w:sz w:val="20"/>
          <w:szCs w:val="20"/>
        </w:rPr>
        <w:t xml:space="preserve">RACI Key: R = Responsible | A = Accountable | C = Consulted | I = Informed</w:t>
      </w:r>
    </w:p>
    <w:p>
      <w:r>
        <w:br w:type="page"/>
      </w:r>
    </w:p>
    <w:p>
      <w:pPr>
        <w:pStyle w:val="Heading2"/>
        <w:spacing w:after="80" w:before="240"/>
      </w:pPr>
      <w:r>
        <w:rPr>
          <w:rFonts w:ascii="Arial" w:cs="Arial" w:eastAsia="Arial" w:hAnsi="Arial"/>
          <w:b/>
          <w:bCs/>
          <w:color w:val="2E75B6"/>
          <w:sz w:val="28"/>
          <w:szCs w:val="28"/>
        </w:rPr>
        <w:t xml:space="preserve">10.3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500"/>
        <w:gridCol w:w="900"/>
        <w:gridCol w:w="900"/>
        <w:gridCol w:w="2000"/>
        <w:gridCol w:w="2000"/>
        <w:gridCol w:w="860"/>
      </w:tblGrid>
      <w:tr>
        <w:tc>
          <w:tcPr>
            <w:tcW w:type="dxa" w:w="2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5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Description</w:t>
            </w:r>
          </w:p>
        </w:tc>
        <w:tc>
          <w:tcPr>
            <w:tcW w:type="dxa" w:w="9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Likelihood</w:t>
            </w:r>
          </w:p>
        </w:tc>
        <w:tc>
          <w:tcPr>
            <w:tcW w:type="dxa" w:w="9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20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w:t>
            </w:r>
          </w:p>
        </w:tc>
        <w:tc>
          <w:tcPr>
            <w:tcW w:type="dxa" w:w="20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8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center"/>
            </w:pPr>
            <w:r>
              <w:rPr>
                <w:rFonts w:ascii="Arial" w:cs="Arial" w:eastAsia="Arial" w:hAnsi="Arial"/>
                <w:b/>
                <w:bCs/>
                <w:color w:val="1F3864"/>
                <w:sz w:val="17"/>
                <w:szCs w:val="17"/>
              </w:rPr>
              <w:t xml:space="preserve">1</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SAML certificate expiry causes authentication outage</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Low</w:t>
            </w:r>
          </w:p>
        </w:tc>
        <w:tc>
          <w:tcPr>
            <w:tcW w:type="dxa" w:w="9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Critical</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Automated expiry alerts at 90/60/30/7 days; documented rotation runbook</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8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Open</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center"/>
            </w:pPr>
            <w:r>
              <w:rPr>
                <w:rFonts w:ascii="Arial" w:cs="Arial" w:eastAsia="Arial" w:hAnsi="Arial"/>
                <w:b/>
                <w:bCs/>
                <w:color w:val="1F3864"/>
                <w:sz w:val="17"/>
                <w:szCs w:val="17"/>
              </w:rPr>
              <w:t xml:space="preserve">2</w:t>
            </w:r>
          </w:p>
        </w:tc>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Over-privileged Graph permissions granted (Sites.ReadWrite.All, ChannelMessage.Read.All App)</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Medium</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High</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review gate before admin consent; quarterly permission audit</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8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Open</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center"/>
            </w:pPr>
            <w:r>
              <w:rPr>
                <w:rFonts w:ascii="Arial" w:cs="Arial" w:eastAsia="Arial" w:hAnsi="Arial"/>
                <w:b/>
                <w:bCs/>
                <w:color w:val="1F3864"/>
                <w:sz w:val="17"/>
                <w:szCs w:val="17"/>
              </w:rPr>
              <w:t xml:space="preserve">3</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SCIM not supported; manual user deprovisioning creates orphaned accounts</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Medium</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High</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JIT provisioning with Entra ID lifecycle management; quarterly access review</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8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Open</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center"/>
            </w:pPr>
            <w:r>
              <w:rPr>
                <w:rFonts w:ascii="Arial" w:cs="Arial" w:eastAsia="Arial" w:hAnsi="Arial"/>
                <w:b/>
                <w:bCs/>
                <w:color w:val="1F3864"/>
                <w:sz w:val="17"/>
                <w:szCs w:val="17"/>
              </w:rPr>
              <w:t xml:space="preserve">4</w:t>
            </w:r>
          </w:p>
        </w:tc>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Data residency not confirmed for Canadian region</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Medium</w:t>
            </w:r>
          </w:p>
        </w:tc>
        <w:tc>
          <w:tcPr>
            <w:tcW w:type="dxa" w:w="9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Critical</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Formal written attestation from iManage before production go-live</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8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Open</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center"/>
            </w:pPr>
            <w:r>
              <w:rPr>
                <w:rFonts w:ascii="Arial" w:cs="Arial" w:eastAsia="Arial" w:hAnsi="Arial"/>
                <w:b/>
                <w:bCs/>
                <w:color w:val="1F3864"/>
                <w:sz w:val="17"/>
                <w:szCs w:val="17"/>
              </w:rPr>
              <w:t xml:space="preserve">5</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MAM policies not supported by current iManage app SDK version</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Medium</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High</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Validate in Dev environment; escalate to iManage for SDK update if needed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Engineering</w:t>
            </w:r>
          </w:p>
        </w:tc>
        <w:tc>
          <w:tcPr>
            <w:tcW w:type="dxa" w:w="8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Open</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center"/>
            </w:pPr>
            <w:r>
              <w:rPr>
                <w:rFonts w:ascii="Arial" w:cs="Arial" w:eastAsia="Arial" w:hAnsi="Arial"/>
                <w:b/>
                <w:bCs/>
                <w:color w:val="1F3864"/>
                <w:sz w:val="17"/>
                <w:szCs w:val="17"/>
              </w:rPr>
              <w:t xml:space="preserve">6</w:t>
            </w:r>
          </w:p>
        </w:tc>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Break-glass accounts not configured before go-live</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Low</w:t>
            </w:r>
          </w:p>
        </w:tc>
        <w:tc>
          <w:tcPr>
            <w:tcW w:type="dxa" w:w="9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Critical</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Include in go-live readiness checklist as mandatory gate</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8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Open</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center"/>
            </w:pPr>
            <w:r>
              <w:rPr>
                <w:rFonts w:ascii="Arial" w:cs="Arial" w:eastAsia="Arial" w:hAnsi="Arial"/>
                <w:b/>
                <w:bCs/>
                <w:color w:val="1F3864"/>
                <w:sz w:val="17"/>
                <w:szCs w:val="17"/>
              </w:rPr>
              <w:t xml:space="preserve">7</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Conditional Access policy breaks iManage authentication for mobile users</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Medium</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High</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Full CA policy testing in Test environment before production rollout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8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Open</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center"/>
            </w:pPr>
            <w:r>
              <w:rPr>
                <w:rFonts w:ascii="Arial" w:cs="Arial" w:eastAsia="Arial" w:hAnsi="Arial"/>
                <w:b/>
                <w:bCs/>
                <w:color w:val="1F3864"/>
                <w:sz w:val="17"/>
                <w:szCs w:val="17"/>
              </w:rPr>
              <w:t xml:space="preserve">8</w:t>
            </w:r>
          </w:p>
        </w:tc>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service account compromise enables tenant-wide data exfiltration</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Low</w:t>
            </w:r>
          </w:p>
        </w:tc>
        <w:tc>
          <w:tcPr>
            <w:tcW w:type="dxa" w:w="9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Critical</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Defender for Cloud Apps monitoring; least-privilege permission enforcement</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8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Open</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center"/>
            </w:pPr>
            <w:r>
              <w:rPr>
                <w:rFonts w:ascii="Arial" w:cs="Arial" w:eastAsia="Arial" w:hAnsi="Arial"/>
                <w:b/>
                <w:bCs/>
                <w:color w:val="1F3864"/>
                <w:sz w:val="17"/>
                <w:szCs w:val="17"/>
              </w:rPr>
              <w:t xml:space="preserve">9</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Customer-Managed Keys not supported; encryption key control gap for regulated data</w:t>
            </w:r>
          </w:p>
        </w:tc>
        <w:tc>
          <w:tcPr>
            <w:tcW w:type="dxa" w:w="9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Low</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High</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Formal vendor attestation; risk acceptance by CISO if CMK not available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8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Open</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center"/>
            </w:pPr>
            <w:r>
              <w:rPr>
                <w:rFonts w:ascii="Arial" w:cs="Arial" w:eastAsia="Arial" w:hAnsi="Arial"/>
                <w:b/>
                <w:bCs/>
                <w:color w:val="1F3864"/>
                <w:sz w:val="17"/>
                <w:szCs w:val="17"/>
              </w:rPr>
              <w:t xml:space="preserve">10</w:t>
            </w:r>
          </w:p>
        </w:tc>
        <w:tc>
          <w:tcPr>
            <w:tcW w:type="dxa" w:w="25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Graph API rate limiting causes Outlook add-in performance degradation at scale</w:t>
            </w:r>
          </w:p>
        </w:tc>
        <w:tc>
          <w:tcPr>
            <w:tcW w:type="dxa" w:w="9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Medium</w:t>
            </w:r>
          </w:p>
        </w:tc>
        <w:tc>
          <w:tcPr>
            <w:tcW w:type="dxa" w:w="9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Medium</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Load test in Test environment; confirm iManage throttling handling with vendor</w:t>
            </w:r>
          </w:p>
        </w:tc>
        <w:tc>
          <w:tcPr>
            <w:tcW w:type="dxa" w:w="2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Cloud Engineering</w:t>
            </w:r>
          </w:p>
        </w:tc>
        <w:tc>
          <w:tcPr>
            <w:tcW w:type="dxa" w:w="86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Open</w:t>
            </w:r>
          </w:p>
        </w:tc>
      </w:tr>
    </w:tbl>
    <w:p>
      <w:r>
        <w:br w:type="page"/>
      </w:r>
    </w:p>
    <w:p>
      <w:pPr>
        <w:pStyle w:val="Heading2"/>
        <w:spacing w:after="80" w:before="240"/>
      </w:pPr>
      <w:r>
        <w:rPr>
          <w:rFonts w:ascii="Arial" w:cs="Arial" w:eastAsia="Arial" w:hAnsi="Arial"/>
          <w:b/>
          <w:bCs/>
          <w:color w:val="2E75B6"/>
          <w:sz w:val="28"/>
          <w:szCs w:val="28"/>
        </w:rPr>
        <w:t xml:space="preserve">10.4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560"/>
        <w:gridCol w:w="1560"/>
        <w:gridCol w:w="1560"/>
        <w:gridCol w:w="1180"/>
      </w:tblGrid>
      <w:tr>
        <w:tc>
          <w:tcPr>
            <w:tcW w:type="dxa" w:w="5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30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Activity</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Start</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w:t>
            </w:r>
          </w:p>
        </w:tc>
        <w:tc>
          <w:tcPr>
            <w:tcW w:type="dxa" w:w="118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P0</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Vendor engagement: Obtain SCIM, permissions, data residency attestations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PM + Security</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2</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P0</w:t>
            </w:r>
          </w:p>
        </w:tc>
        <w:tc>
          <w:tcPr>
            <w:tcW w:type="dxa" w:w="3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Register iManage Enterprise Application in Entra ID (Dev)</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P0</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Configure SAML 2.0 SP settings and claims mapping (Dev)</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2</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FADBD8"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P0</w:t>
            </w:r>
          </w:p>
        </w:tc>
        <w:tc>
          <w:tcPr>
            <w:tcW w:type="dxa" w:w="3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Document and review Microsoft Graph permissions required</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 Cloud Eng</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2</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P1</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Grant minimum Graph permissions (admin consent) in Dev</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2</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2</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P1</w:t>
            </w:r>
          </w:p>
        </w:tc>
        <w:tc>
          <w:tcPr>
            <w:tcW w:type="dxa" w:w="3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Deploy iManage Work for Outlook add-in to Dev test users</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Cloud Engineering</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2</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3</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P1</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Deploy iManage for Teams in Dev Teams environment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Cloud Engineering</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2</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3</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P1</w:t>
            </w:r>
          </w:p>
        </w:tc>
        <w:tc>
          <w:tcPr>
            <w:tcW w:type="dxa" w:w="3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Configure user provisioning (SCIM or JIT) in Dev</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2</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3</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P1</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Deploy iManage mobile apps via Intune to Dev test devices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Engineering</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2</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3</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P2</w:t>
            </w:r>
          </w:p>
        </w:tc>
        <w:tc>
          <w:tcPr>
            <w:tcW w:type="dxa" w:w="3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Dev environment integration testing (Outlook, Teams, mobile)</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Team + QA</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3</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5</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P2</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Microsoft Graph permission audit (confirm actual vs requested)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4</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4</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P2</w:t>
            </w:r>
          </w:p>
        </w:tc>
        <w:tc>
          <w:tcPr>
            <w:tcW w:type="dxa" w:w="3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Conditional Access policy testing in Dev</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4</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5</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P2</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SIEM log integration and alert rule configuration</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4</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5</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P3</w:t>
            </w:r>
          </w:p>
        </w:tc>
        <w:tc>
          <w:tcPr>
            <w:tcW w:type="dxa" w:w="3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Test environment configuration and promotion from Dev</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Cloud Engineering</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6</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7</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P3</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Extended integration testing with 20–50 users in Test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Team + Business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7</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10</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P3</w:t>
            </w:r>
          </w:p>
        </w:tc>
        <w:tc>
          <w:tcPr>
            <w:tcW w:type="dxa" w:w="3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MAM testing and App Protection Policy validation</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Engineering</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7</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9</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P3</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 acceptance testing and business sign-off</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PM + Business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9</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11</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P3</w:t>
            </w:r>
          </w:p>
        </w:tc>
        <w:tc>
          <w:tcPr>
            <w:tcW w:type="dxa" w:w="3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assessment sign-off and risk register closure review</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 + CISO</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11</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11</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P4</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Production Entra ID Enterprise Application registration</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12</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12</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P4</w:t>
            </w:r>
          </w:p>
        </w:tc>
        <w:tc>
          <w:tcPr>
            <w:tcW w:type="dxa" w:w="3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Production admin consent (CISO approval required)</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 CISO</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12</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12</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P4</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Pilot deployment (50 users) – Wave 1</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PM</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13</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14</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P4</w:t>
            </w:r>
          </w:p>
        </w:tc>
        <w:tc>
          <w:tcPr>
            <w:tcW w:type="dxa" w:w="30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Phased production rollout – Wave 2 (25%), Wave 3 (50%), Full</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PM</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14</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18</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r>
        <w:tc>
          <w:tcPr>
            <w:tcW w:type="dxa" w:w="500"/>
            <w:tcBorders>
              <w:top w:val="single" w:color="CCCCCC" w:sz="4"/>
              <w:left w:val="single" w:color="CCCCCC" w:sz="4"/>
              <w:bottom w:val="single" w:color="CCCCCC" w:sz="4"/>
              <w:right w:val="single" w:color="CCCCCC" w:sz="4"/>
            </w:tcBorders>
            <w:shd w:fill="D5F5E3" w:val="clear"/>
            <w:tcMar>
              <w:top w:type="dxa" w:w="60"/>
              <w:left w:type="dxa" w:w="120"/>
              <w:bottom w:type="dxa" w:w="60"/>
              <w:right w:type="dxa" w:w="120"/>
            </w:tcMar>
            <w:vAlign w:val="top"/>
          </w:tcPr>
          <w:p>
            <w:pPr>
              <w:jc w:val="center"/>
            </w:pPr>
            <w:r>
              <w:rPr>
                <w:rFonts w:ascii="Arial" w:cs="Arial" w:eastAsia="Arial" w:hAnsi="Arial"/>
                <w:b/>
                <w:bCs/>
                <w:color w:val="000000"/>
                <w:sz w:val="17"/>
                <w:szCs w:val="17"/>
              </w:rPr>
              <w:t xml:space="preserve">P4</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Hypercare monitoring and issue resolution</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All Teams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13</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Week 20</w:t>
            </w:r>
          </w:p>
        </w:tc>
        <w:tc>
          <w:tcPr>
            <w:tcW w:type="dxa" w:w="118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Not Started</w:t>
            </w:r>
          </w:p>
        </w:tc>
      </w:tr>
    </w:tbl>
    <w:p>
      <w:r>
        <w:br w:type="page"/>
      </w:r>
    </w:p>
    <w:p>
      <w:pPr>
        <w:pStyle w:val="Heading2"/>
        <w:spacing w:after="80" w:before="240"/>
      </w:pPr>
      <w:r>
        <w:rPr>
          <w:rFonts w:ascii="Arial" w:cs="Arial" w:eastAsia="Arial" w:hAnsi="Arial"/>
          <w:b/>
          <w:bCs/>
          <w:color w:val="2E75B6"/>
          <w:sz w:val="28"/>
          <w:szCs w:val="28"/>
        </w:rPr>
        <w:t xml:space="preserve">10.5 Go-Live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4C3C" w:sz="4"/>
              <w:left w:val="single" w:color="E74C3C" w:sz="4"/>
              <w:bottom w:val="single" w:color="E74C3C" w:sz="4"/>
              <w:right w:val="single" w:color="E74C3C" w:sz="4"/>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 RISK: </w:t>
            </w:r>
            <w:r>
              <w:rPr>
                <w:rFonts w:ascii="Arial" w:cs="Arial" w:eastAsia="Arial" w:hAnsi="Arial"/>
                <w:sz w:val="18"/>
                <w:szCs w:val="18"/>
              </w:rPr>
              <w:t xml:space="preserve">ALL items in this checklist must be completed and signed off before Production go-live approval. Any 'Not Complete' item is a blocking issue requiring CISO-level risk acceptance to proceed.</w:t>
            </w:r>
          </w:p>
        </w:tc>
      </w:tr>
    </w:tbl>
    <w:p>
      <w:pPr>
        <w:spacing w:after="6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460"/>
        <w:gridCol w:w="1560"/>
        <w:gridCol w:w="1040"/>
      </w:tblGrid>
      <w:tr>
        <w:tc>
          <w:tcPr>
            <w:tcW w:type="dxa" w:w="13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Domain</w:t>
            </w:r>
          </w:p>
        </w:tc>
        <w:tc>
          <w:tcPr>
            <w:tcW w:type="dxa" w:w="54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Readiness Criterion</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Verified By</w:t>
            </w:r>
          </w:p>
        </w:tc>
        <w:tc>
          <w:tcPr>
            <w:tcW w:type="dxa" w:w="104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IAM</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SAML 2.0 SSO tested and working in Production with at least 10 pilot users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IAM</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 provisioning lifecycle (create/modify/deactivate) tested end-to-end</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IAM</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Break-glass accounts created, tested, and documented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IAM</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SAML certificate registered in cert management with expiry alerts active</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IAM</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Group-to-role mappings configured and validated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All Graph permissions reviewed and minimum required scoped confirmed</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Admin consent granted for production by authorized approver (CISO)</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CISO</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Data residency confirmed in writing from iManage for Canadian region</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SOC 2 Type II reviewed; critical findings addressed or risk-accepted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Conditional Access policies active and tested (MFA, device compliance)</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SIEM integration active; audit log alerts configured and tested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Security</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Defender for Cloud Apps: iManage marked as sanctioned; monitoring active</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Mobile</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App Protection Policies deployed and validated on iOS and Android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Engineering</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Mobile</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Mobile Conditional Access tested on compliant and non-compliant devices</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Intune Engineering</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Integration</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Outlook email filing end-to-end test passed in Production tenant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Team</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Integration</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Teams filing tested in Production</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Team</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Business</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Helpdesk trained and runbook published</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PM</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Business</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User training materials published and pilot users trained</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PM</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Business</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UAT sign-off received from business stakeholders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Business Lead</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Operations</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Rollback procedure documented, tested, and approved</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Cloud Engineering</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Operations</w:t>
            </w:r>
          </w:p>
        </w:tc>
        <w:tc>
          <w:tcPr>
            <w:tcW w:type="dxa" w:w="5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Hypercare plan active (24/7 support roster for first 2 weeks)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PM</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r>
        <w:tc>
          <w:tcPr>
            <w:tcW w:type="dxa" w:w="13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Operations</w:t>
            </w:r>
          </w:p>
        </w:tc>
        <w:tc>
          <w:tcPr>
            <w:tcW w:type="dxa" w:w="54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Incident response runbook updated to include iManage outage scenarios</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Cloud Engineering</w:t>
            </w:r>
          </w:p>
        </w:tc>
        <w:tc>
          <w:tcPr>
            <w:tcW w:type="dxa" w:w="1040"/>
            <w:tcBorders>
              <w:top w:val="single" w:color="CCCCCC" w:sz="4"/>
              <w:left w:val="single" w:color="CCCCCC" w:sz="4"/>
              <w:bottom w:val="single" w:color="CCCCCC" w:sz="4"/>
              <w:right w:val="single" w:color="CCCCCC" w:sz="4"/>
            </w:tcBorders>
            <w:shd w:fill="F2F3F4" w:val="clear"/>
            <w:tcMar>
              <w:top w:type="dxa" w:w="60"/>
              <w:left w:type="dxa" w:w="120"/>
              <w:bottom w:type="dxa" w:w="60"/>
              <w:right w:type="dxa" w:w="120"/>
            </w:tcMar>
            <w:vAlign w:val="top"/>
          </w:tcPr>
          <w:p>
            <w:pPr>
              <w:jc w:val="center"/>
            </w:pPr>
            <w:r>
              <w:rPr>
                <w:rFonts w:ascii="Arial" w:cs="Arial" w:eastAsia="Arial" w:hAnsi="Arial"/>
                <w:b w:val="false"/>
                <w:bCs w:val="false"/>
                <w:color w:val="000000"/>
                <w:sz w:val="17"/>
                <w:szCs w:val="17"/>
              </w:rPr>
              <w:t xml:space="preserve">☐</w:t>
            </w:r>
          </w:p>
        </w:tc>
      </w:tr>
    </w:tbl>
    <w:p>
      <w:r>
        <w:br w:type="page"/>
      </w:r>
    </w:p>
    <w:p>
      <w:pPr>
        <w:pStyle w:val="Heading2"/>
        <w:spacing w:after="80" w:before="240"/>
      </w:pPr>
      <w:r>
        <w:rPr>
          <w:rFonts w:ascii="Arial" w:cs="Arial" w:eastAsia="Arial" w:hAnsi="Arial"/>
          <w:b/>
          <w:bCs/>
          <w:color w:val="2E75B6"/>
          <w:sz w:val="28"/>
          <w:szCs w:val="28"/>
        </w:rPr>
        <w:t xml:space="preserve">10.6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600"/>
        <w:gridCol w:w="2700"/>
        <w:gridCol w:w="2300"/>
        <w:gridCol w:w="1560"/>
        <w:gridCol w:w="1000"/>
        <w:gridCol w:w="1000"/>
      </w:tblGrid>
      <w:tr>
        <w:tc>
          <w:tcPr>
            <w:tcW w:type="dxa" w:w="2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6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7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w:t>
            </w:r>
          </w:p>
        </w:tc>
        <w:tc>
          <w:tcPr>
            <w:tcW w:type="dxa" w:w="23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c>
          <w:tcPr>
            <w:tcW w:type="dxa" w:w="156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0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900"/>
            <w:gridSpan w:val="1"/>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 Date</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D-01</w:t>
            </w:r>
          </w:p>
        </w:tc>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TBD</w:t>
            </w:r>
          </w:p>
        </w:tc>
        <w:tc>
          <w:tcPr>
            <w:tcW w:type="dxa" w:w="2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SAML 2.0 selected as primary authentication protocol (not OIDC)</w:t>
            </w:r>
          </w:p>
        </w:tc>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iManage documentation recommends SAML 2.0 for SSO; OIDC not supported for primary SSO flow</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Proposed</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N/A</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D-02</w:t>
            </w:r>
          </w:p>
        </w:tc>
        <w:tc>
          <w:tcPr>
            <w:tcW w:type="dxa" w:w="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TBD</w:t>
            </w:r>
          </w:p>
        </w:tc>
        <w:tc>
          <w:tcPr>
            <w:tcW w:type="dxa" w:w="27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SP-Initiated SSO selected over IdP-Initiated SSO</w:t>
            </w:r>
          </w:p>
        </w:tc>
        <w:tc>
          <w:tcPr>
            <w:tcW w:type="dxa" w:w="2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SP-Initiated ensures Conditional Access evaluation on every access; IdP-Initiated may bypass CA controls</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 + Security</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Proposed</w:t>
            </w:r>
          </w:p>
        </w:tc>
        <w:tc>
          <w:tcPr>
            <w:tcW w:type="dxa" w:w="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N/A</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D-03</w:t>
            </w:r>
          </w:p>
        </w:tc>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TBD</w:t>
            </w:r>
          </w:p>
        </w:tc>
        <w:tc>
          <w:tcPr>
            <w:tcW w:type="dxa" w:w="2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JIT provisioning adopted as interim if SCIM not confirmed</w:t>
            </w:r>
          </w:p>
        </w:tc>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SCIM 2.0 support from iManage not confirmed; JIT provisioning provides acceptable fallback for initial rollout</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IAM Engineering</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Proposed</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At SCIM confirmation</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D-04</w:t>
            </w:r>
          </w:p>
        </w:tc>
        <w:tc>
          <w:tcPr>
            <w:tcW w:type="dxa" w:w="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TBD</w:t>
            </w:r>
          </w:p>
        </w:tc>
        <w:tc>
          <w:tcPr>
            <w:tcW w:type="dxa" w:w="27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Sites.ReadWrite.All (Application) permission deferred until justified by iManage</w:t>
            </w:r>
          </w:p>
        </w:tc>
        <w:tc>
          <w:tcPr>
            <w:tcW w:type="dxa" w:w="2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Tenant-wide SharePoint write at application level is excessive; hold until vendor provides specific justification</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Security Architecture</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Proposed</w:t>
            </w:r>
          </w:p>
        </w:tc>
        <w:tc>
          <w:tcPr>
            <w:tcW w:type="dxa" w:w="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Pre-Test</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D-05</w:t>
            </w:r>
          </w:p>
        </w:tc>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TBD</w:t>
            </w:r>
          </w:p>
        </w:tc>
        <w:tc>
          <w:tcPr>
            <w:tcW w:type="dxa" w:w="2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CMK requirement escalated to CISO for decision if iManage does not confirm CMK support</w:t>
            </w:r>
          </w:p>
        </w:tc>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Financial institution data classification policy may require CMK for sensitive document stores</w:t>
            </w:r>
          </w:p>
        </w:tc>
        <w:tc>
          <w:tcPr>
            <w:tcW w:type="dxa" w:w="1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CISO + Security</w:t>
            </w:r>
          </w:p>
        </w:tc>
        <w:tc>
          <w:tcPr>
            <w:tcW w:type="dxa" w:w="1000"/>
            <w:tcBorders>
              <w:top w:val="single" w:color="CCCCCC" w:sz="4"/>
              <w:left w:val="single" w:color="CCCCCC" w:sz="4"/>
              <w:bottom w:val="single" w:color="CCCCCC" w:sz="4"/>
              <w:right w:val="single" w:color="CCCCCC" w:sz="4"/>
            </w:tcBorders>
            <w:shd w:fill="FDEBD0"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Pending</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Pre-Production</w:t>
            </w:r>
          </w:p>
        </w:tc>
      </w:tr>
      <w:tr>
        <w:tc>
          <w:tcPr>
            <w:tcW w:type="dxa" w:w="2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vAlign w:val="top"/>
          </w:tcPr>
          <w:p>
            <w:pPr>
              <w:jc w:val="left"/>
            </w:pPr>
            <w:r>
              <w:rPr>
                <w:rFonts w:ascii="Arial" w:cs="Arial" w:eastAsia="Arial" w:hAnsi="Arial"/>
                <w:b/>
                <w:bCs/>
                <w:color w:val="1F3864"/>
                <w:sz w:val="17"/>
                <w:szCs w:val="17"/>
              </w:rPr>
              <w:t xml:space="preserve">D-06</w:t>
            </w:r>
          </w:p>
        </w:tc>
        <w:tc>
          <w:tcPr>
            <w:tcW w:type="dxa" w:w="6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TBD</w:t>
            </w:r>
          </w:p>
        </w:tc>
        <w:tc>
          <w:tcPr>
            <w:tcW w:type="dxa" w:w="27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Phased rollout (Pilot → 25% → 50% → Full) selected over big-bang deployment</w:t>
            </w:r>
          </w:p>
        </w:tc>
        <w:tc>
          <w:tcPr>
            <w:tcW w:type="dxa" w:w="23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Phased approach reduces risk and provides operational learnings before full deployment</w:t>
            </w:r>
          </w:p>
        </w:tc>
        <w:tc>
          <w:tcPr>
            <w:tcW w:type="dxa" w:w="156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DMS Program Manager</w:t>
            </w:r>
          </w:p>
        </w:tc>
        <w:tc>
          <w:tcPr>
            <w:tcW w:type="dxa" w:w="1000"/>
            <w:tcBorders>
              <w:top w:val="single" w:color="CCCCCC" w:sz="4"/>
              <w:left w:val="single" w:color="CCCCCC" w:sz="4"/>
              <w:bottom w:val="single" w:color="CCCCCC" w:sz="4"/>
              <w:right w:val="single" w:color="CCCCCC" w:sz="4"/>
            </w:tcBorders>
            <w:shd w:fill="FFF9C4"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Proposed</w:t>
            </w:r>
          </w:p>
        </w:tc>
        <w:tc>
          <w:tcPr>
            <w:tcW w:type="dxa" w:w="900"/>
            <w:tcBorders>
              <w:top w:val="single" w:color="CCCCCC" w:sz="4"/>
              <w:left w:val="single" w:color="CCCCCC" w:sz="4"/>
              <w:bottom w:val="single" w:color="CCCCCC" w:sz="4"/>
              <w:right w:val="single" w:color="CCCCCC" w:sz="4"/>
            </w:tcBorders>
            <w:shd w:fill="EBF5FB" w:val="clear"/>
            <w:tcMar>
              <w:top w:type="dxa" w:w="60"/>
              <w:left w:type="dxa" w:w="120"/>
              <w:bottom w:type="dxa" w:w="60"/>
              <w:right w:type="dxa" w:w="120"/>
            </w:tcMar>
            <w:vAlign w:val="top"/>
          </w:tcPr>
          <w:p>
            <w:pPr>
              <w:jc w:val="left"/>
            </w:pPr>
            <w:r>
              <w:rPr>
                <w:rFonts w:ascii="Arial" w:cs="Arial" w:eastAsia="Arial" w:hAnsi="Arial"/>
                <w:b w:val="false"/>
                <w:bCs w:val="false"/>
                <w:color w:val="000000"/>
                <w:sz w:val="17"/>
                <w:szCs w:val="17"/>
              </w:rPr>
              <w:t xml:space="preserve">N/A</w:t>
            </w:r>
          </w:p>
        </w:tc>
      </w:tr>
    </w:tbl>
    <w:p>
      <w:r>
        <w:br w:type="page"/>
      </w:r>
    </w:p>
    <w:p>
      <w:pPr>
        <w:pStyle w:val="Heading2"/>
        <w:spacing w:after="80" w:before="240"/>
      </w:pPr>
      <w:r>
        <w:rPr>
          <w:rFonts w:ascii="Arial" w:cs="Arial" w:eastAsia="Arial" w:hAnsi="Arial"/>
          <w:b/>
          <w:bCs/>
          <w:color w:val="2E75B6"/>
          <w:sz w:val="28"/>
          <w:szCs w:val="28"/>
        </w:rPr>
        <w:t xml:space="preserve">10.7 Document Control and Assumptions</w:t>
      </w:r>
    </w:p>
    <w:p>
      <w:pPr>
        <w:pStyle w:val="Heading3"/>
        <w:spacing w:after="60" w:before="160"/>
      </w:pPr>
      <w:r>
        <w:rPr>
          <w:rFonts w:ascii="Arial" w:cs="Arial" w:eastAsia="Arial" w:hAnsi="Arial"/>
          <w:b/>
          <w:bCs/>
          <w:color w:val="1F3864"/>
          <w:sz w:val="24"/>
          <w:szCs w:val="24"/>
        </w:rPr>
        <w:t xml:space="preserve">10.7.1 Documented Facts</w:t>
      </w:r>
    </w:p>
    <w:p>
      <w:pPr>
        <w:pStyle w:val="ListParagraph"/>
        <w:numPr>
          <w:ilvl w:val="0"/>
          <w:numId w:val="2"/>
        </w:numPr>
        <w:spacing w:after="40" w:before="40"/>
      </w:pPr>
      <w:r>
        <w:rPr>
          <w:rFonts w:ascii="Arial" w:cs="Arial" w:eastAsia="Arial" w:hAnsi="Arial"/>
          <w:sz w:val="20"/>
          <w:szCs w:val="20"/>
        </w:rPr>
        <w:t xml:space="preserve">iManage Work Cloud is hosted on Microsoft Azure infrastructure (iManage published documentation)</w:t>
      </w:r>
    </w:p>
    <w:p>
      <w:pPr>
        <w:pStyle w:val="ListParagraph"/>
        <w:numPr>
          <w:ilvl w:val="0"/>
          <w:numId w:val="2"/>
        </w:numPr>
        <w:spacing w:after="40" w:before="40"/>
      </w:pPr>
      <w:r>
        <w:rPr>
          <w:rFonts w:ascii="Arial" w:cs="Arial" w:eastAsia="Arial" w:hAnsi="Arial"/>
          <w:sz w:val="20"/>
          <w:szCs w:val="20"/>
        </w:rPr>
        <w:t xml:space="preserve">SAML 2.0 is the supported SSO protocol for iManage Work Cloud (iManage SSO configuration guide)</w:t>
      </w:r>
    </w:p>
    <w:p>
      <w:pPr>
        <w:pStyle w:val="ListParagraph"/>
        <w:numPr>
          <w:ilvl w:val="0"/>
          <w:numId w:val="2"/>
        </w:numPr>
        <w:spacing w:after="40" w:before="40"/>
      </w:pPr>
      <w:r>
        <w:rPr>
          <w:rFonts w:ascii="Arial" w:cs="Arial" w:eastAsia="Arial" w:hAnsi="Arial"/>
          <w:sz w:val="20"/>
          <w:szCs w:val="20"/>
        </w:rPr>
        <w:t xml:space="preserve">iManage Work Cloud is available in the Microsoft Entra ID Enterprise Application gallery (Microsoft Entra app gallery)</w:t>
      </w:r>
    </w:p>
    <w:p>
      <w:pPr>
        <w:pStyle w:val="ListParagraph"/>
        <w:numPr>
          <w:ilvl w:val="0"/>
          <w:numId w:val="2"/>
        </w:numPr>
        <w:spacing w:after="40" w:before="40"/>
      </w:pPr>
      <w:r>
        <w:rPr>
          <w:rFonts w:ascii="Arial" w:cs="Arial" w:eastAsia="Arial" w:hAnsi="Arial"/>
          <w:sz w:val="20"/>
          <w:szCs w:val="20"/>
        </w:rPr>
        <w:t xml:space="preserve">iManage provides native iOS and Android mobile applications (iManage App Store listings)</w:t>
      </w:r>
    </w:p>
    <w:p>
      <w:pPr>
        <w:pStyle w:val="ListParagraph"/>
        <w:numPr>
          <w:ilvl w:val="0"/>
          <w:numId w:val="2"/>
        </w:numPr>
        <w:spacing w:after="40" w:before="40"/>
      </w:pPr>
      <w:r>
        <w:rPr>
          <w:rFonts w:ascii="Arial" w:cs="Arial" w:eastAsia="Arial" w:hAnsi="Arial"/>
          <w:sz w:val="20"/>
          <w:szCs w:val="20"/>
        </w:rPr>
        <w:t xml:space="preserve">Microsoft Graph API endpoints used are standard Microsoft-published endpoints (Microsoft Graph API documentation)</w:t>
      </w:r>
    </w:p>
    <w:p>
      <w:pPr>
        <w:pStyle w:val="ListParagraph"/>
        <w:numPr>
          <w:ilvl w:val="0"/>
          <w:numId w:val="2"/>
        </w:numPr>
        <w:spacing w:after="40" w:before="40"/>
      </w:pPr>
      <w:r>
        <w:rPr>
          <w:rFonts w:ascii="Arial" w:cs="Arial" w:eastAsia="Arial" w:hAnsi="Arial"/>
          <w:sz w:val="20"/>
          <w:szCs w:val="20"/>
        </w:rPr>
        <w:t xml:space="preserve">Microsoft Entra ID SAML signing certificates default to 3-year validity (Microsoft Entra documentation)</w:t>
      </w:r>
    </w:p>
    <w:p>
      <w:pPr>
        <w:pStyle w:val="ListParagraph"/>
        <w:numPr>
          <w:ilvl w:val="0"/>
          <w:numId w:val="2"/>
        </w:numPr>
        <w:spacing w:after="40" w:before="40"/>
      </w:pPr>
      <w:r>
        <w:rPr>
          <w:rFonts w:ascii="Arial" w:cs="Arial" w:eastAsia="Arial" w:hAnsi="Arial"/>
          <w:sz w:val="20"/>
          <w:szCs w:val="20"/>
        </w:rPr>
        <w:t xml:space="preserve">Microsoft 365 E5 includes Microsoft Intune, Defender for Cloud Apps, and Purview (Microsoft licensing documentation)</w:t>
      </w:r>
    </w:p>
    <w:p>
      <w:pPr>
        <w:pStyle w:val="Heading3"/>
        <w:spacing w:after="60" w:before="160"/>
      </w:pPr>
      <w:r>
        <w:rPr>
          <w:rFonts w:ascii="Arial" w:cs="Arial" w:eastAsia="Arial" w:hAnsi="Arial"/>
          <w:b/>
          <w:bCs/>
          <w:color w:val="1F3864"/>
          <w:sz w:val="24"/>
          <w:szCs w:val="24"/>
        </w:rPr>
        <w:t xml:space="preserve">10.7.2 Assumptions</w:t>
      </w:r>
    </w:p>
    <w:p>
      <w:pPr>
        <w:pStyle w:val="ListParagraph"/>
        <w:numPr>
          <w:ilvl w:val="0"/>
          <w:numId w:val="2"/>
        </w:numPr>
        <w:spacing w:after="40" w:before="40"/>
      </w:pPr>
      <w:r>
        <w:rPr>
          <w:rFonts w:ascii="Arial" w:cs="Arial" w:eastAsia="Arial" w:hAnsi="Arial"/>
          <w:sz w:val="20"/>
          <w:szCs w:val="20"/>
        </w:rPr>
        <w:t xml:space="preserve">iManage Work Cloud Dev tenant will be provisioned by iManage Technical Account Manager before the start of Dev onboarding phase</w:t>
      </w:r>
    </w:p>
    <w:p>
      <w:pPr>
        <w:pStyle w:val="ListParagraph"/>
        <w:numPr>
          <w:ilvl w:val="0"/>
          <w:numId w:val="2"/>
        </w:numPr>
        <w:spacing w:after="40" w:before="40"/>
      </w:pPr>
      <w:r>
        <w:rPr>
          <w:rFonts w:ascii="Arial" w:cs="Arial" w:eastAsia="Arial" w:hAnsi="Arial"/>
          <w:sz w:val="20"/>
          <w:szCs w:val="20"/>
        </w:rPr>
        <w:t xml:space="preserve">The organization's Microsoft Entra ID tenant is in a healthy state with Conditional Access policies defined</w:t>
      </w:r>
    </w:p>
    <w:p>
      <w:pPr>
        <w:pStyle w:val="ListParagraph"/>
        <w:numPr>
          <w:ilvl w:val="0"/>
          <w:numId w:val="2"/>
        </w:numPr>
        <w:spacing w:after="40" w:before="40"/>
      </w:pPr>
      <w:r>
        <w:rPr>
          <w:rFonts w:ascii="Arial" w:cs="Arial" w:eastAsia="Arial" w:hAnsi="Arial"/>
          <w:sz w:val="20"/>
          <w:szCs w:val="20"/>
        </w:rPr>
        <w:t xml:space="preserve">Microsoft 365 E5 licenses are available and assigned to pilot users before Dev onboarding begins</w:t>
      </w:r>
    </w:p>
    <w:p>
      <w:pPr>
        <w:pStyle w:val="ListParagraph"/>
        <w:numPr>
          <w:ilvl w:val="0"/>
          <w:numId w:val="2"/>
        </w:numPr>
        <w:spacing w:after="40" w:before="40"/>
      </w:pPr>
      <w:r>
        <w:rPr>
          <w:rFonts w:ascii="Arial" w:cs="Arial" w:eastAsia="Arial" w:hAnsi="Arial"/>
          <w:sz w:val="20"/>
          <w:szCs w:val="20"/>
        </w:rPr>
        <w:t xml:space="preserve">A dedicated Entra ID service principal (app registration) will be used for iManage Graph API access; no shared service principals</w:t>
      </w:r>
    </w:p>
    <w:p>
      <w:pPr>
        <w:pStyle w:val="ListParagraph"/>
        <w:numPr>
          <w:ilvl w:val="0"/>
          <w:numId w:val="2"/>
        </w:numPr>
        <w:spacing w:after="40" w:before="40"/>
      </w:pPr>
      <w:r>
        <w:rPr>
          <w:rFonts w:ascii="Arial" w:cs="Arial" w:eastAsia="Arial" w:hAnsi="Arial"/>
          <w:sz w:val="20"/>
          <w:szCs w:val="20"/>
        </w:rPr>
        <w:t xml:space="preserve">iManage will provide a complete and accurate Microsoft Graph permission list upon request</w:t>
      </w:r>
    </w:p>
    <w:p>
      <w:pPr>
        <w:pStyle w:val="Heading3"/>
        <w:spacing w:after="60" w:before="160"/>
      </w:pPr>
      <w:r>
        <w:rPr>
          <w:rFonts w:ascii="Arial" w:cs="Arial" w:eastAsia="Arial" w:hAnsi="Arial"/>
          <w:b/>
          <w:bCs/>
          <w:color w:val="1F3864"/>
          <w:sz w:val="24"/>
          <w:szCs w:val="24"/>
        </w:rPr>
        <w:t xml:space="preserve">10.7.3 Items Requiring Vendor Confirmation</w:t>
      </w:r>
    </w:p>
    <w:p>
      <w:pPr>
        <w:pStyle w:val="ListParagraph"/>
        <w:numPr>
          <w:ilvl w:val="0"/>
          <w:numId w:val="2"/>
        </w:numPr>
        <w:spacing w:after="40" w:before="40"/>
      </w:pPr>
      <w:r>
        <w:rPr>
          <w:rFonts w:ascii="Arial" w:cs="Arial" w:eastAsia="Arial" w:hAnsi="Arial"/>
          <w:sz w:val="20"/>
          <w:szCs w:val="20"/>
        </w:rPr>
        <w:t xml:space="preserve">SCIM 2.0 provisioning support and endpoint availability</w:t>
      </w:r>
    </w:p>
    <w:p>
      <w:pPr>
        <w:pStyle w:val="ListParagraph"/>
        <w:numPr>
          <w:ilvl w:val="0"/>
          <w:numId w:val="2"/>
        </w:numPr>
        <w:spacing w:after="40" w:before="40"/>
      </w:pPr>
      <w:r>
        <w:rPr>
          <w:rFonts w:ascii="Arial" w:cs="Arial" w:eastAsia="Arial" w:hAnsi="Arial"/>
          <w:sz w:val="20"/>
          <w:szCs w:val="20"/>
        </w:rPr>
        <w:t xml:space="preserve">Customer-Managed Key (CMK / BYOK) support and associated cost</w:t>
      </w:r>
    </w:p>
    <w:p>
      <w:pPr>
        <w:pStyle w:val="ListParagraph"/>
        <w:numPr>
          <w:ilvl w:val="0"/>
          <w:numId w:val="2"/>
        </w:numPr>
        <w:spacing w:after="40" w:before="40"/>
      </w:pPr>
      <w:r>
        <w:rPr>
          <w:rFonts w:ascii="Arial" w:cs="Arial" w:eastAsia="Arial" w:hAnsi="Arial"/>
          <w:sz w:val="20"/>
          <w:szCs w:val="20"/>
        </w:rPr>
        <w:t xml:space="preserve">Data residency region control and contractual commitments for Canadian data</w:t>
      </w:r>
    </w:p>
    <w:p>
      <w:pPr>
        <w:pStyle w:val="ListParagraph"/>
        <w:numPr>
          <w:ilvl w:val="0"/>
          <w:numId w:val="2"/>
        </w:numPr>
        <w:spacing w:after="40" w:before="40"/>
      </w:pPr>
      <w:r>
        <w:rPr>
          <w:rFonts w:ascii="Arial" w:cs="Arial" w:eastAsia="Arial" w:hAnsi="Arial"/>
          <w:sz w:val="20"/>
          <w:szCs w:val="20"/>
        </w:rPr>
        <w:t xml:space="preserve">Intune SDK version and MAM-WE policy support in current mobile app releases</w:t>
      </w:r>
    </w:p>
    <w:p>
      <w:pPr>
        <w:pStyle w:val="ListParagraph"/>
        <w:numPr>
          <w:ilvl w:val="0"/>
          <w:numId w:val="2"/>
        </w:numPr>
        <w:spacing w:after="40" w:before="40"/>
      </w:pPr>
      <w:r>
        <w:rPr>
          <w:rFonts w:ascii="Arial" w:cs="Arial" w:eastAsia="Arial" w:hAnsi="Arial"/>
          <w:sz w:val="20"/>
          <w:szCs w:val="20"/>
        </w:rPr>
        <w:t xml:space="preserve">Complete Microsoft Graph permission list for all iManage features</w:t>
      </w:r>
    </w:p>
    <w:p>
      <w:pPr>
        <w:pStyle w:val="ListParagraph"/>
        <w:numPr>
          <w:ilvl w:val="0"/>
          <w:numId w:val="2"/>
        </w:numPr>
        <w:spacing w:after="40" w:before="40"/>
      </w:pPr>
      <w:r>
        <w:rPr>
          <w:rFonts w:ascii="Arial" w:cs="Arial" w:eastAsia="Arial" w:hAnsi="Arial"/>
          <w:sz w:val="20"/>
          <w:szCs w:val="20"/>
        </w:rPr>
        <w:t xml:space="preserve">SIEM integration capabilities and supported log export formats</w:t>
      </w:r>
    </w:p>
    <w:p>
      <w:pPr>
        <w:pStyle w:val="ListParagraph"/>
        <w:numPr>
          <w:ilvl w:val="0"/>
          <w:numId w:val="2"/>
        </w:numPr>
        <w:spacing w:after="40" w:before="40"/>
      </w:pPr>
      <w:r>
        <w:rPr>
          <w:rFonts w:ascii="Arial" w:cs="Arial" w:eastAsia="Arial" w:hAnsi="Arial"/>
          <w:sz w:val="20"/>
          <w:szCs w:val="20"/>
        </w:rPr>
        <w:t xml:space="preserve">Microsoft Defender for Cloud Apps native connector availability</w:t>
      </w:r>
    </w:p>
    <w:p>
      <w:pPr>
        <w:pStyle w:val="ListParagraph"/>
        <w:numPr>
          <w:ilvl w:val="0"/>
          <w:numId w:val="2"/>
        </w:numPr>
        <w:spacing w:after="40" w:before="40"/>
      </w:pPr>
      <w:r>
        <w:rPr>
          <w:rFonts w:ascii="Arial" w:cs="Arial" w:eastAsia="Arial" w:hAnsi="Arial"/>
          <w:sz w:val="20"/>
          <w:szCs w:val="20"/>
        </w:rPr>
        <w:t xml:space="preserve">Conditional Access policy compatibility matrix</w:t>
      </w:r>
    </w:p>
    <w:p>
      <w:pPr>
        <w:pStyle w:val="ListParagraph"/>
        <w:numPr>
          <w:ilvl w:val="0"/>
          <w:numId w:val="2"/>
        </w:numPr>
        <w:spacing w:after="40" w:before="40"/>
      </w:pPr>
      <w:r>
        <w:rPr>
          <w:rFonts w:ascii="Arial" w:cs="Arial" w:eastAsia="Arial" w:hAnsi="Arial"/>
          <w:sz w:val="20"/>
          <w:szCs w:val="20"/>
        </w:rPr>
        <w:t xml:space="preserve">TLS 1.3 support on iManage endpoints</w:t>
      </w:r>
    </w:p>
    <w:p>
      <w:pPr>
        <w:pStyle w:val="ListParagraph"/>
        <w:numPr>
          <w:ilvl w:val="0"/>
          <w:numId w:val="2"/>
        </w:numPr>
        <w:spacing w:after="40" w:before="40"/>
      </w:pPr>
      <w:r>
        <w:rPr>
          <w:rFonts w:ascii="Arial" w:cs="Arial" w:eastAsia="Arial" w:hAnsi="Arial"/>
          <w:sz w:val="20"/>
          <w:szCs w:val="20"/>
        </w:rPr>
        <w:t xml:space="preserve">Sites.ReadWrite.All scope necessity vs Sites.Read.All for SharePoint integration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100"/>
    </w:pPr>
    <w:r>
      <w:rPr>
        <w:rFonts w:ascii="Arial" w:cs="Arial" w:eastAsia="Arial" w:hAnsi="Arial"/>
        <w:color w:val="555555"/>
        <w:sz w:val="16"/>
        <w:szCs w:val="16"/>
      </w:rPr>
      <w:t xml:space="preserve">© [Financial Institution Name]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00" w:before="0"/>
    </w:pPr>
    <w:r>
      <w:rPr>
        <w:rFonts w:ascii="Arial" w:cs="Arial" w:eastAsia="Arial" w:hAnsi="Arial"/>
        <w:color w:val="555555"/>
        <w:sz w:val="16"/>
        <w:szCs w:val="16"/>
      </w:rPr>
      <w:t xml:space="preserve">CONFIDENTIAL | iManage Work Cloud – Enterprise Onboarding Assessment</w:t>
    </w:r>
    <w:r>
      <w:rPr>
        <w:rFonts w:ascii="Arial" w:cs="Arial" w:eastAsia="Arial" w:hAnsi="Arial"/>
        <w:sz w:val="16"/>
        <w:szCs w:val="16"/>
      </w:rPr>
      <w:t xml:space="preserve">	</w:t>
    </w:r>
    <w:r>
      <w:rPr>
        <w:rFonts w:ascii="Arial" w:cs="Arial" w:eastAsia="Arial" w:hAnsi="Arial"/>
        <w:color w:val="555555"/>
        <w:sz w:val="16"/>
        <w:szCs w:val="16"/>
      </w:rPr>
      <w:t xml:space="preserve">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2026-06-15T02:04:07.445Z</dcterms:created>
  <dcterms:modified xsi:type="dcterms:W3CDTF">2026-06-15T02:04:07.447Z</dcterms:modified>
</cp:coreProperties>
</file>

<file path=docProps/custom.xml><?xml version="1.0" encoding="utf-8"?>
<Properties xmlns="http://schemas.openxmlformats.org/officeDocument/2006/custom-properties" xmlns:vt="http://schemas.openxmlformats.org/officeDocument/2006/docPropsVTypes"/>
</file>