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jc w:val="center"/>
      </w:pPr>
      <w:r>
        <w:rPr>
          <w:b/>
          <w:bCs/>
          <w:color w:val="00532D"/>
          <w:sz w:val="56"/>
          <w:szCs w:val="56"/>
        </w:rPr>
        <w:t xml:space="preserve">Solution Design Document</w:t>
      </w:r>
    </w:p>
    <w:p>
      <w:pPr>
        <w:spacing w:after="200" w:before="200"/>
        <w:jc w:val="center"/>
      </w:pPr>
      <w:r>
        <w:rPr>
          <w:color w:val="008A00"/>
          <w:sz w:val="32"/>
          <w:szCs w:val="32"/>
        </w:rPr>
        <w:t xml:space="preserve">Objective Pilot — Copilot Agent Suite</w:t>
      </w:r>
    </w:p>
    <w:p>
      <w:pPr>
        <w:spacing w:before="100"/>
        <w:jc w:val="center"/>
      </w:pPr>
      <w:r>
        <w:rPr>
          <w:color w:val="595959"/>
          <w:sz w:val="22"/>
          <w:szCs w:val="22"/>
        </w:rPr>
        <w:t xml:space="preserve">Covers two agents: the Enterprise (Manager/IC) agent and the SVP+ Demo Mode (Executive) agent</w:t>
      </w:r>
    </w:p>
    <w:p>
      <w:pPr>
        <w:spacing w:before="800"/>
        <w:jc w:val="center"/>
      </w:pPr>
      <w:r>
        <w:rPr>
          <w:sz w:val="22"/>
          <w:szCs w:val="22"/>
        </w:rPr>
        <w:t xml:space="preserve">Created by Ricky Zaman</w:t>
      </w:r>
    </w:p>
    <w:p>
      <w:r>
        <w:br w:type="page"/>
      </w:r>
    </w:p>
    <w:p>
      <w:pPr>
        <w:pStyle w:val="Heading1"/>
      </w:pPr>
      <w:r>
        <w:t xml:space="preserve">1. Solution Overview</w:t>
      </w:r>
    </w:p>
    <w:p>
      <w:pPr>
        <w:spacing w:after="120"/>
      </w:pPr>
      <w:r>
        <w:t xml:space="preserve">Objective Pilot is a Microsoft Copilot agent suite that generates Workday-ready performance objectives, automatically aligned to enterprise and group-head strategy. It removes the manual work of translating cascaded strategy documents into well-formed individual and team objectives.</w:t>
      </w:r>
    </w:p>
    <w:p>
      <w:pPr>
        <w:pStyle w:val="Heading2"/>
      </w:pPr>
      <w:r>
        <w:t xml:space="preserve">Purpose</w:t>
      </w:r>
    </w:p>
    <w:p>
      <w:pPr>
        <w:pStyle w:val="ListParagraph"/>
        <w:numPr>
          <w:ilvl w:val="0"/>
          <w:numId w:val="2"/>
        </w:numPr>
        <w:spacing w:after="60"/>
      </w:pPr>
      <w:r>
        <w:t xml:space="preserve">Generate cascaded, Workday-ready team and individual objectives that align to upstream enterprise and group strategy, in under five minutes per user.</w:t>
      </w:r>
    </w:p>
    <w:p>
      <w:pPr>
        <w:pStyle w:val="ListParagraph"/>
        <w:numPr>
          <w:ilvl w:val="0"/>
          <w:numId w:val="2"/>
        </w:numPr>
        <w:spacing w:after="60"/>
      </w:pPr>
      <w:r>
        <w:t xml:space="preserve">Two purpose-built variants exist: an Enterprise agent (all levels, role-aware via Copilot's role hierarchy flag) and an SVP+ Demo Mode agent (HR-only, executive/demo use, no profile data).</w:t>
      </w:r>
    </w:p>
    <w:p>
      <w:pPr>
        <w:pStyle w:val="Heading2"/>
      </w:pPr>
      <w:r>
        <w:t xml:space="preserve">Business Value</w:t>
      </w:r>
    </w:p>
    <w:p>
      <w:pPr>
        <w:pStyle w:val="ListParagraph"/>
        <w:numPr>
          <w:ilvl w:val="0"/>
          <w:numId w:val="2"/>
        </w:numPr>
        <w:spacing w:after="60"/>
      </w:pPr>
      <w:r>
        <w:t xml:space="preserve">Reduces objective-setting time from a manual, multi-hour exercise to a near-instant, self-serve Copilot interaction.</w:t>
      </w:r>
    </w:p>
    <w:p>
      <w:pPr>
        <w:pStyle w:val="ListParagraph"/>
        <w:numPr>
          <w:ilvl w:val="0"/>
          <w:numId w:val="2"/>
        </w:numPr>
        <w:spacing w:after="60"/>
      </w:pPr>
      <w:r>
        <w:t xml:space="preserve">Improves line-of-sight alignment between individual contributors and enterprise strategy by enforcing a strict organizational cascade.</w:t>
      </w:r>
    </w:p>
    <w:p>
      <w:pPr>
        <w:pStyle w:val="ListParagraph"/>
        <w:numPr>
          <w:ilvl w:val="0"/>
          <w:numId w:val="2"/>
        </w:numPr>
        <w:spacing w:after="60"/>
      </w:pPr>
      <w:r>
        <w:t xml:space="preserve">Standardizes objective structure (What/How format, measurable success criteria) across the bank, reducing inconsistency in Workday submissions.</w:t>
      </w:r>
    </w:p>
    <w:p>
      <w:pPr>
        <w:pStyle w:val="Heading2"/>
      </w:pPr>
      <w:r>
        <w:t xml:space="preserve">Expected Outcomes</w:t>
      </w:r>
    </w:p>
    <w:p>
      <w:pPr>
        <w:pStyle w:val="ListParagraph"/>
        <w:numPr>
          <w:ilvl w:val="0"/>
          <w:numId w:val="2"/>
        </w:numPr>
        <w:spacing w:after="60"/>
      </w:pPr>
      <w:r>
        <w:t xml:space="preserve">Faster, more consistent objective-setting cycles for managers and individual contributors.</w:t>
      </w:r>
    </w:p>
    <w:p>
      <w:pPr>
        <w:pStyle w:val="ListParagraph"/>
        <w:numPr>
          <w:ilvl w:val="0"/>
          <w:numId w:val="2"/>
        </w:numPr>
        <w:spacing w:after="60"/>
      </w:pPr>
      <w:r>
        <w:t xml:space="preserve">Objectives that demonstrably trace back to a named upstream source (strategy deck, Group Head objectives, Risk Culture, or Leadership Principles).</w:t>
      </w:r>
    </w:p>
    <w:p>
      <w:pPr>
        <w:pStyle w:val="ListParagraph"/>
        <w:numPr>
          <w:ilvl w:val="0"/>
          <w:numId w:val="2"/>
        </w:numPr>
        <w:spacing w:after="60"/>
      </w:pPr>
      <w:r>
        <w:t xml:space="preserve">A pilot-ready demo path (SVP+ Demo Mode) that can showcase the concept to executives ahead of a broader, LOB-by-LOB rollout.</w:t>
      </w:r>
    </w:p>
    <w:p>
      <w:pPr>
        <w:spacing w:after="160" w:before="60"/>
      </w:pPr>
      <w:r>
        <w:rPr>
          <w:i/>
          <w:iCs/>
          <w:color w:val="595959"/>
          <w:sz w:val="20"/>
          <w:szCs w:val="20"/>
        </w:rPr>
        <w:t xml:space="preserve">Assumption: "in under five minutes" is a design target stated in the agent instructions; it has not been independently validated against production performance in this document.</w:t>
      </w:r>
    </w:p>
    <w:p>
      <w:pPr>
        <w:pStyle w:val="Heading1"/>
      </w:pPr>
      <w:r>
        <w:t xml:space="preserve">2. Agent Configuration</w:t>
      </w:r>
    </w:p>
    <w:p>
      <w:pPr>
        <w:spacing w:after="120"/>
      </w:pPr>
      <w:r>
        <w:t xml:space="preserve">Two agents were reverse engineered. Both share the same card structure and output format but differ in scope, audience, and data access.</w:t>
      </w:r>
    </w:p>
    <w:p>
      <w:pPr>
        <w:pStyle w:val="Heading2"/>
      </w:pPr>
      <w:r>
        <w:t xml:space="preserve">2.1 Comparison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560"/>
      </w:tblGrid>
      <w:tr>
        <w:trPr>
          <w:tblHeader/>
        </w:trPr>
        <w:tc>
          <w:tcPr>
            <w:tcW w:type="dxa" w:w="2200"/>
            <w:tcBorders>
              <w:top w:val="single" w:color="CCCCCC" w:sz="1"/>
              <w:left w:val="single" w:color="CCCCCC" w:sz="1"/>
              <w:bottom w:val="single" w:color="CCCCCC" w:sz="1"/>
              <w:right w:val="single" w:color="CCCCCC" w:sz="1"/>
            </w:tcBorders>
            <w:shd w:fill="00532D" w:val="clear"/>
            <w:tcMar>
              <w:top w:type="dxa" w:w="80"/>
              <w:left w:type="dxa" w:w="120"/>
              <w:bottom w:type="dxa" w:w="80"/>
              <w:right w:type="dxa" w:w="120"/>
            </w:tcMar>
          </w:tcPr>
          <w:p>
            <w:r>
              <w:rPr>
                <w:b/>
                <w:bCs/>
                <w:color w:val="FFFFFF"/>
                <w:sz w:val="20"/>
                <w:szCs w:val="20"/>
              </w:rPr>
              <w:t xml:space="preserve">Attribute</w:t>
            </w:r>
          </w:p>
        </w:tc>
        <w:tc>
          <w:tcPr>
            <w:tcW w:type="dxa" w:w="3600"/>
            <w:tcBorders>
              <w:top w:val="single" w:color="CCCCCC" w:sz="1"/>
              <w:left w:val="single" w:color="CCCCCC" w:sz="1"/>
              <w:bottom w:val="single" w:color="CCCCCC" w:sz="1"/>
              <w:right w:val="single" w:color="CCCCCC" w:sz="1"/>
            </w:tcBorders>
            <w:shd w:fill="00532D" w:val="clear"/>
            <w:tcMar>
              <w:top w:type="dxa" w:w="80"/>
              <w:left w:type="dxa" w:w="120"/>
              <w:bottom w:type="dxa" w:w="80"/>
              <w:right w:type="dxa" w:w="120"/>
            </w:tcMar>
          </w:tcPr>
          <w:p>
            <w:r>
              <w:rPr>
                <w:b/>
                <w:bCs/>
                <w:color w:val="FFFFFF"/>
                <w:sz w:val="20"/>
                <w:szCs w:val="20"/>
              </w:rPr>
              <w:t xml:space="preserve">Enterprise Agent ("Objective Pilot")</w:t>
            </w:r>
          </w:p>
        </w:tc>
        <w:tc>
          <w:tcPr>
            <w:tcW w:type="dxa" w:w="3560"/>
            <w:tcBorders>
              <w:top w:val="single" w:color="CCCCCC" w:sz="1"/>
              <w:left w:val="single" w:color="CCCCCC" w:sz="1"/>
              <w:bottom w:val="single" w:color="CCCCCC" w:sz="1"/>
              <w:right w:val="single" w:color="CCCCCC" w:sz="1"/>
            </w:tcBorders>
            <w:shd w:fill="00532D" w:val="clear"/>
            <w:tcMar>
              <w:top w:type="dxa" w:w="80"/>
              <w:left w:type="dxa" w:w="120"/>
              <w:bottom w:type="dxa" w:w="80"/>
              <w:right w:type="dxa" w:w="120"/>
            </w:tcMar>
          </w:tcPr>
          <w:p>
            <w:r>
              <w:rPr>
                <w:b/>
                <w:bCs/>
                <w:color w:val="FFFFFF"/>
                <w:sz w:val="20"/>
                <w:szCs w:val="20"/>
              </w:rPr>
              <w:t xml:space="preserve">SVP+ Demo Mode ("Executive")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Audience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All executives/levels at the company (full org)</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SVP+ and Senior Manager (L11) only, HR lines of business only</w:t>
            </w:r>
          </w:p>
        </w:tc>
      </w:tr>
      <w:tr>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sz w:val="20"/>
                <w:szCs w:val="20"/>
              </w:rPr>
              <w:t xml:space="preserve">Profile data use</w:t>
            </w:r>
          </w:p>
        </w:tc>
        <w:tc>
          <w:tcPr>
            <w:tcW w:type="dxa" w:w="3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sz w:val="20"/>
                <w:szCs w:val="20"/>
              </w:rPr>
              <w:t xml:space="preserve">Uses organizational profile / role hierarchy data to infer role and level</w:t>
            </w:r>
          </w:p>
        </w:tc>
        <w:tc>
          <w:tcPr>
            <w:tcW w:type="dxa" w:w="3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sz w:val="20"/>
                <w:szCs w:val="20"/>
              </w:rPr>
              <w:t xml:space="preserve">Explicitly disabled — profile, M365 role, and job title data are never read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Scope confirmation</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Infers role from profile data where available; user input overrides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Must explicitly confirm level and HR line of business every time, by asking</w:t>
            </w:r>
          </w:p>
        </w:tc>
      </w:tr>
      <w:tr>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sz w:val="20"/>
                <w:szCs w:val="20"/>
              </w:rPr>
              <w:t xml:space="preserve">Reasoning/coaching</w:t>
            </w:r>
          </w:p>
        </w:tc>
        <w:tc>
          <w:tcPr>
            <w:tcW w:type="dxa" w:w="3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sz w:val="20"/>
                <w:szCs w:val="20"/>
              </w:rPr>
              <w:t xml:space="preserve">Per your notes: intended to be more reasoning-oriented, helping users arrive at a good output</w:t>
            </w:r>
          </w:p>
        </w:tc>
        <w:tc>
          <w:tcPr>
            <w:tcW w:type="dxa" w:w="3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sz w:val="20"/>
                <w:szCs w:val="20"/>
              </w:rPr>
              <w:t xml:space="preserve">Strictly final-output only, per current instructions — no coaching, no exposed reasoning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Card sets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Same logic: Team = Business Objectives only; Individual = Business Objectives + Risk Culture (+ How We Lead if people manager)</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Identical card-set logic</w:t>
            </w:r>
          </w:p>
        </w:tc>
      </w:tr>
      <w:tr>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sz w:val="20"/>
                <w:szCs w:val="20"/>
              </w:rPr>
              <w:t xml:space="preserve">Multi-turn continuity</w:t>
            </w:r>
          </w:p>
        </w:tc>
        <w:tc>
          <w:tcPr>
            <w:tcW w:type="dxa" w:w="3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sz w:val="20"/>
                <w:szCs w:val="20"/>
              </w:rPr>
              <w:t xml:space="preserve">Not explicitly defined for same-session re-runs</w:t>
            </w:r>
          </w:p>
        </w:tc>
        <w:tc>
          <w:tcPr>
            <w:tcW w:type="dxa" w:w="3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sz w:val="20"/>
                <w:szCs w:val="20"/>
              </w:rPr>
              <w:t xml:space="preserve">"Same-Person Cascade": a prior generated objective in-session can serve as upstream input for follow-on requests</w:t>
            </w:r>
          </w:p>
        </w:tc>
      </w:tr>
    </w:tbl>
    <w:p>
      <w:pPr>
        <w:pStyle w:val="Heading2"/>
      </w:pPr>
      <w:r>
        <w:t xml:space="preserve">2.2 Agent Behavior (Both Agents)</w:t>
      </w:r>
    </w:p>
    <w:p>
      <w:pPr>
        <w:pStyle w:val="ListParagraph"/>
        <w:numPr>
          <w:ilvl w:val="0"/>
          <w:numId w:val="2"/>
        </w:numPr>
        <w:spacing w:after="60"/>
      </w:pPr>
      <w:r>
        <w:t xml:space="preserve">Never coach, never explain reasoning, never expose internal validation steps — output is the final card set only.</w:t>
      </w:r>
    </w:p>
    <w:p>
      <w:pPr>
        <w:pStyle w:val="ListParagraph"/>
        <w:numPr>
          <w:ilvl w:val="0"/>
          <w:numId w:val="2"/>
        </w:numPr>
        <w:spacing w:after="60"/>
      </w:pPr>
      <w:r>
        <w:t xml:space="preserve">Always show the AI-disclaimer once before any cards, and always close with the double-check reminder.</w:t>
      </w:r>
    </w:p>
    <w:p>
      <w:pPr>
        <w:pStyle w:val="ListParagraph"/>
        <w:numPr>
          <w:ilvl w:val="0"/>
          <w:numId w:val="2"/>
        </w:numPr>
        <w:spacing w:after="60"/>
      </w:pPr>
      <w:r>
        <w:t xml:space="preserve">Determine card type (team vs. individual) before generating, and never attach Risk Culture or How We Lead cards to a team objective.</w:t>
      </w:r>
    </w:p>
    <w:p>
      <w:pPr>
        <w:pStyle w:val="ListParagraph"/>
        <w:numPr>
          <w:ilvl w:val="0"/>
          <w:numId w:val="2"/>
        </w:numPr>
        <w:spacing w:after="60"/>
      </w:pPr>
      <w:r>
        <w:t xml:space="preserve">Enforce a hard gate on missing upstream (the level directly above the user): the agent must say so before generating, every time, even mid-conversation.</w:t>
      </w:r>
    </w:p>
    <w:p>
      <w:pPr>
        <w:pStyle w:val="ListParagraph"/>
        <w:numPr>
          <w:ilvl w:val="0"/>
          <w:numId w:val="2"/>
        </w:numPr>
        <w:spacing w:after="60"/>
      </w:pPr>
      <w:r>
        <w:t xml:space="preserve">Treat any newly supplied upstream document as a trigger for full regeneration — never a superficial reword of existing cards.</w:t>
      </w:r>
    </w:p>
    <w:p>
      <w:pPr>
        <w:pStyle w:val="Heading2"/>
      </w:pPr>
      <w:r>
        <w:t xml:space="preserve">2.3 Guardrails</w:t>
      </w:r>
    </w:p>
    <w:p>
      <w:pPr>
        <w:pStyle w:val="ListParagraph"/>
        <w:numPr>
          <w:ilvl w:val="0"/>
          <w:numId w:val="2"/>
        </w:numPr>
        <w:spacing w:after="60"/>
      </w:pPr>
      <w:r>
        <w:t xml:space="preserve">No markdown tables, no emojis, no bracketed citation IDs in output — sources are named in plain language only.</w:t>
      </w:r>
    </w:p>
    <w:p>
      <w:pPr>
        <w:pStyle w:val="ListParagraph"/>
        <w:numPr>
          <w:ilvl w:val="0"/>
          <w:numId w:val="2"/>
        </w:numPr>
        <w:spacing w:after="60"/>
      </w:pPr>
      <w:r>
        <w:t xml:space="preserve">Output must be plain text inside fenced code blocks, copy-paste ready for Workday.</w:t>
      </w:r>
    </w:p>
    <w:p>
      <w:pPr>
        <w:pStyle w:val="ListParagraph"/>
        <w:numPr>
          <w:ilvl w:val="0"/>
          <w:numId w:val="2"/>
        </w:numPr>
        <w:spacing w:after="60"/>
      </w:pPr>
      <w:r>
        <w:t xml:space="preserve">Risk Culture and How We Lead card wording is constrained to the source language for the user's tier; these are the only cards allowed to closely mirror upstream wording.</w:t>
      </w:r>
    </w:p>
    <w:p>
      <w:pPr>
        <w:pStyle w:val="ListParagraph"/>
        <w:numPr>
          <w:ilvl w:val="0"/>
          <w:numId w:val="2"/>
        </w:numPr>
        <w:spacing w:after="60"/>
      </w:pPr>
      <w:r>
        <w:t xml:space="preserve">Business Objective cards must always be more granular than their upstream source, never a restatement.</w:t>
      </w:r>
    </w:p>
    <w:p>
      <w:pPr>
        <w:pStyle w:val="Heading2"/>
      </w:pPr>
      <w:r>
        <w:t xml:space="preserve">2.4 Output Expectations</w:t>
      </w:r>
    </w:p>
    <w:p>
      <w:pPr>
        <w:pStyle w:val="ListParagraph"/>
        <w:numPr>
          <w:ilvl w:val="0"/>
          <w:numId w:val="2"/>
        </w:numPr>
        <w:spacing w:after="60"/>
      </w:pPr>
      <w:r>
        <w:t xml:space="preserve">Team objective request → 3 to 5 Business Objective cards only.</w:t>
      </w:r>
    </w:p>
    <w:p>
      <w:pPr>
        <w:pStyle w:val="ListParagraph"/>
        <w:numPr>
          <w:ilvl w:val="0"/>
          <w:numId w:val="2"/>
        </w:numPr>
        <w:spacing w:after="60"/>
      </w:pPr>
      <w:r>
        <w:t xml:space="preserve">Individual objective request (non-people-manager) → 3 Business Objective cards + 1 Risk Culture card.</w:t>
      </w:r>
    </w:p>
    <w:p>
      <w:pPr>
        <w:pStyle w:val="ListParagraph"/>
        <w:numPr>
          <w:ilvl w:val="0"/>
          <w:numId w:val="2"/>
        </w:numPr>
        <w:spacing w:after="60"/>
      </w:pPr>
      <w:r>
        <w:t xml:space="preserve">Individual objective request (confirmed people manager) → 3 Business Objective cards + 1 Risk Culture card + 1 How We Lead card.</w:t>
      </w:r>
    </w:p>
    <w:p>
      <w:pPr>
        <w:pStyle w:val="ListParagraph"/>
        <w:numPr>
          <w:ilvl w:val="0"/>
          <w:numId w:val="2"/>
        </w:numPr>
        <w:spacing w:after="60"/>
      </w:pPr>
      <w:r>
        <w:t xml:space="preserve">Each card: objective type header, OBJECTIVE line (What/How), and 2 (occasionally 3) measurable success measures.</w:t>
      </w:r>
    </w:p>
    <w:p>
      <w:pPr>
        <w:pStyle w:val="Heading1"/>
      </w:pPr>
      <w:r>
        <w:t xml:space="preserve">3. Knowledge Sources</w:t>
      </w:r>
    </w:p>
    <w:p>
      <w:pPr>
        <w:spacing w:after="120"/>
      </w:pPr>
      <w:r>
        <w:t xml:space="preserve">Both agents are instructed to depend on four PowerPoint knowledge sources, supplied per line of business. None were attached for this analysis — the summaries below are inferred from how the agent instructions reference them; content and structure are assumptions pending confirmation.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700"/>
        <w:gridCol w:w="2400"/>
        <w:gridCol w:w="2060"/>
      </w:tblGrid>
      <w:tr>
        <w:trPr>
          <w:tblHeader/>
        </w:trPr>
        <w:tc>
          <w:tcPr>
            <w:tcW w:type="dxa" w:w="2200"/>
            <w:tcBorders>
              <w:top w:val="single" w:color="CCCCCC" w:sz="1"/>
              <w:left w:val="single" w:color="CCCCCC" w:sz="1"/>
              <w:bottom w:val="single" w:color="CCCCCC" w:sz="1"/>
              <w:right w:val="single" w:color="CCCCCC" w:sz="1"/>
            </w:tcBorders>
            <w:shd w:fill="00532D" w:val="clear"/>
            <w:tcMar>
              <w:top w:type="dxa" w:w="80"/>
              <w:left w:type="dxa" w:w="120"/>
              <w:bottom w:type="dxa" w:w="80"/>
              <w:right w:type="dxa" w:w="120"/>
            </w:tcMar>
          </w:tcPr>
          <w:p>
            <w:r>
              <w:rPr>
                <w:b/>
                <w:bCs/>
                <w:color w:val="FFFFFF"/>
                <w:sz w:val="20"/>
                <w:szCs w:val="20"/>
              </w:rPr>
              <w:t xml:space="preserve">Source</w:t>
            </w:r>
          </w:p>
        </w:tc>
        <w:tc>
          <w:tcPr>
            <w:tcW w:type="dxa" w:w="2700"/>
            <w:tcBorders>
              <w:top w:val="single" w:color="CCCCCC" w:sz="1"/>
              <w:left w:val="single" w:color="CCCCCC" w:sz="1"/>
              <w:bottom w:val="single" w:color="CCCCCC" w:sz="1"/>
              <w:right w:val="single" w:color="CCCCCC" w:sz="1"/>
            </w:tcBorders>
            <w:shd w:fill="00532D" w:val="clear"/>
            <w:tcMar>
              <w:top w:type="dxa" w:w="80"/>
              <w:left w:type="dxa" w:w="120"/>
              <w:bottom w:type="dxa" w:w="80"/>
              <w:right w:type="dxa" w:w="120"/>
            </w:tcMar>
          </w:tcPr>
          <w:p>
            <w:r>
              <w:rPr>
                <w:b/>
                <w:bCs/>
                <w:color w:val="FFFFFF"/>
                <w:sz w:val="20"/>
                <w:szCs w:val="20"/>
              </w:rPr>
              <w:t xml:space="preserve">Purpose / Key Content (Inferred)</w:t>
            </w:r>
          </w:p>
        </w:tc>
        <w:tc>
          <w:tcPr>
            <w:tcW w:type="dxa" w:w="2400"/>
            <w:tcBorders>
              <w:top w:val="single" w:color="CCCCCC" w:sz="1"/>
              <w:left w:val="single" w:color="CCCCCC" w:sz="1"/>
              <w:bottom w:val="single" w:color="CCCCCC" w:sz="1"/>
              <w:right w:val="single" w:color="CCCCCC" w:sz="1"/>
            </w:tcBorders>
            <w:shd w:fill="00532D" w:val="clear"/>
            <w:tcMar>
              <w:top w:type="dxa" w:w="80"/>
              <w:left w:type="dxa" w:w="120"/>
              <w:bottom w:type="dxa" w:w="80"/>
              <w:right w:type="dxa" w:w="120"/>
            </w:tcMar>
          </w:tcPr>
          <w:p>
            <w:r>
              <w:rPr>
                <w:b/>
                <w:bCs/>
                <w:color w:val="FFFFFF"/>
                <w:sz w:val="20"/>
                <w:szCs w:val="20"/>
              </w:rPr>
              <w:t xml:space="preserve">How the Agent Uses It</w:t>
            </w:r>
          </w:p>
        </w:tc>
        <w:tc>
          <w:tcPr>
            <w:tcW w:type="dxa" w:w="2060"/>
            <w:tcBorders>
              <w:top w:val="single" w:color="CCCCCC" w:sz="1"/>
              <w:left w:val="single" w:color="CCCCCC" w:sz="1"/>
              <w:bottom w:val="single" w:color="CCCCCC" w:sz="1"/>
              <w:right w:val="single" w:color="CCCCCC" w:sz="1"/>
            </w:tcBorders>
            <w:shd w:fill="00532D" w:val="clear"/>
            <w:tcMar>
              <w:top w:type="dxa" w:w="80"/>
              <w:left w:type="dxa" w:w="120"/>
              <w:bottom w:type="dxa" w:w="80"/>
              <w:right w:type="dxa" w:w="120"/>
            </w:tcMar>
          </w:tcPr>
          <w:p>
            <w:r>
              <w:rPr>
                <w:b/>
                <w:bCs/>
                <w:color w:val="FFFFFF"/>
                <w:sz w:val="20"/>
                <w:szCs w:val="20"/>
              </w:rPr>
              <w:t xml:space="preserve">Limitations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LOB Strategy Deck (usually CEO strategy)</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Enterprise/CEO-level strategic priorities for the line of business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Top of the cascade; basis for Business OKRs and all downstream objective alignment</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Single point of dependency — if outdated or missing, the entire cascade has no anchor</w:t>
            </w:r>
          </w:p>
        </w:tc>
      </w:tr>
      <w:tr>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sz w:val="20"/>
                <w:szCs w:val="20"/>
              </w:rPr>
              <w:t xml:space="preserve">Group Head Objectives Deck</w:t>
            </w:r>
          </w:p>
        </w:tc>
        <w:tc>
          <w:tcPr>
            <w:tcW w:type="dxa" w:w="27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sz w:val="20"/>
                <w:szCs w:val="20"/>
              </w:rPr>
              <w:t xml:space="preserve">Group Head (ESVP+) objectives for the LOB</w:t>
            </w:r>
          </w:p>
        </w:tc>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sz w:val="20"/>
                <w:szCs w:val="20"/>
              </w:rPr>
              <w:t xml:space="preserve">Used as the immediate upstream for SVP objectives; agent must operationalize it, never copy verbatim</w:t>
            </w:r>
          </w:p>
        </w:tc>
        <w:tc>
          <w:tcPr>
            <w:tcW w:type="dxa" w:w="20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sz w:val="20"/>
                <w:szCs w:val="20"/>
              </w:rPr>
              <w:t xml:space="preserve">Must be refreshed each cycle; stale decks would cascade outdated objectives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Risk Culture Objectives Deck</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Pre-approved Risk Culture objective wording, segmented by tier (SVP+, People Manager, Individual Contributor)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Quoted closely (not paraphrased) for the Risk Culture card, matched to user's tier</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Agent cannot generate a Risk Culture card without this source — a hard dependency</w:t>
            </w:r>
          </w:p>
        </w:tc>
      </w:tr>
      <w:tr>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sz w:val="20"/>
                <w:szCs w:val="20"/>
              </w:rPr>
              <w:t xml:space="preserve">"The TD Way" Leadership Principles Deck</w:t>
            </w:r>
          </w:p>
        </w:tc>
        <w:tc>
          <w:tcPr>
            <w:tcW w:type="dxa" w:w="27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sz w:val="20"/>
                <w:szCs w:val="20"/>
              </w:rPr>
              <w:t xml:space="preserve">Leadership principles segmented by tier</w:t>
            </w:r>
          </w:p>
        </w:tc>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sz w:val="20"/>
                <w:szCs w:val="20"/>
              </w:rPr>
              <w:t xml:space="preserve">Source for the How We Lead card, only for confirmed people managers</w:t>
            </w:r>
          </w:p>
        </w:tc>
        <w:tc>
          <w:tcPr>
            <w:tcW w:type="dxa" w:w="20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sz w:val="20"/>
                <w:szCs w:val="20"/>
              </w:rPr>
              <w:t xml:space="preserve">Same hard-dependency risk as Risk Culture; also requires accurate tier segmentation</w:t>
            </w:r>
          </w:p>
        </w:tc>
      </w:tr>
    </w:tbl>
    <w:p>
      <w:pPr>
        <w:spacing w:after="160" w:before="60"/>
      </w:pPr>
      <w:r>
        <w:rPr>
          <w:i/>
          <w:iCs/>
          <w:color w:val="595959"/>
          <w:sz w:val="20"/>
          <w:szCs w:val="20"/>
        </w:rPr>
        <w:t xml:space="preserve">Assumption: deck structure and exact content are inferred from usage context only, since no PowerPoint files were supplied for this analysis. If/when decks are provided, this section should be replaced with concrete content summaries.</w:t>
      </w:r>
    </w:p>
    <w:p>
      <w:pPr>
        <w:pStyle w:val="Heading1"/>
      </w:pPr>
      <w:r>
        <w:t xml:space="preserve">4. Business Objectives Identified</w:t>
      </w:r>
    </w:p>
    <w:p>
      <w:pPr>
        <w:spacing w:after="120"/>
      </w:pPr>
      <w:r>
        <w:t xml:space="preserve">These are the objectives the agent suite itself is designed to achieve — not sample Workday output.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2960"/>
      </w:tblGrid>
      <w:tr>
        <w:trPr>
          <w:tblHeader/>
        </w:trPr>
        <w:tc>
          <w:tcPr>
            <w:tcW w:type="dxa" w:w="3200"/>
            <w:tcBorders>
              <w:top w:val="single" w:color="CCCCCC" w:sz="1"/>
              <w:left w:val="single" w:color="CCCCCC" w:sz="1"/>
              <w:bottom w:val="single" w:color="CCCCCC" w:sz="1"/>
              <w:right w:val="single" w:color="CCCCCC" w:sz="1"/>
            </w:tcBorders>
            <w:shd w:fill="00532D" w:val="clear"/>
            <w:tcMar>
              <w:top w:type="dxa" w:w="80"/>
              <w:left w:type="dxa" w:w="120"/>
              <w:bottom w:type="dxa" w:w="80"/>
              <w:right w:type="dxa" w:w="120"/>
            </w:tcMar>
          </w:tcPr>
          <w:p>
            <w:r>
              <w:rPr>
                <w:b/>
                <w:bCs/>
                <w:color w:val="FFFFFF"/>
                <w:sz w:val="20"/>
                <w:szCs w:val="20"/>
              </w:rPr>
              <w:t xml:space="preserve">Objective</w:t>
            </w:r>
          </w:p>
        </w:tc>
        <w:tc>
          <w:tcPr>
            <w:tcW w:type="dxa" w:w="3200"/>
            <w:tcBorders>
              <w:top w:val="single" w:color="CCCCCC" w:sz="1"/>
              <w:left w:val="single" w:color="CCCCCC" w:sz="1"/>
              <w:bottom w:val="single" w:color="CCCCCC" w:sz="1"/>
              <w:right w:val="single" w:color="CCCCCC" w:sz="1"/>
            </w:tcBorders>
            <w:shd w:fill="00532D" w:val="clear"/>
            <w:tcMar>
              <w:top w:type="dxa" w:w="80"/>
              <w:left w:type="dxa" w:w="120"/>
              <w:bottom w:type="dxa" w:w="80"/>
              <w:right w:type="dxa" w:w="120"/>
            </w:tcMar>
          </w:tcPr>
          <w:p>
            <w:r>
              <w:rPr>
                <w:b/>
                <w:bCs/>
                <w:color w:val="FFFFFF"/>
                <w:sz w:val="20"/>
                <w:szCs w:val="20"/>
              </w:rPr>
              <w:t xml:space="preserve">Business Outcome Supported</w:t>
            </w:r>
          </w:p>
        </w:tc>
        <w:tc>
          <w:tcPr>
            <w:tcW w:type="dxa" w:w="2960"/>
            <w:tcBorders>
              <w:top w:val="single" w:color="CCCCCC" w:sz="1"/>
              <w:left w:val="single" w:color="CCCCCC" w:sz="1"/>
              <w:bottom w:val="single" w:color="CCCCCC" w:sz="1"/>
              <w:right w:val="single" w:color="CCCCCC" w:sz="1"/>
            </w:tcBorders>
            <w:shd w:fill="00532D" w:val="clear"/>
            <w:tcMar>
              <w:top w:type="dxa" w:w="80"/>
              <w:left w:type="dxa" w:w="120"/>
              <w:bottom w:type="dxa" w:w="80"/>
              <w:right w:type="dxa" w:w="120"/>
            </w:tcMar>
          </w:tcPr>
          <w:p>
            <w:r>
              <w:rPr>
                <w:b/>
                <w:bCs/>
                <w:color w:val="FFFFFF"/>
                <w:sz w:val="20"/>
                <w:szCs w:val="20"/>
              </w:rPr>
              <w:t xml:space="preserve">Expected Value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Automate cascaded objective generation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Faster, more consistent performance management cycles</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Time saved per manager/IC; reduced variance in objective quality</w:t>
            </w:r>
          </w:p>
        </w:tc>
      </w:tr>
      <w:tr>
        <w:tc>
          <w:tcPr>
            <w:tcW w:type="dxa" w:w="3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sz w:val="20"/>
                <w:szCs w:val="20"/>
              </w:rPr>
              <w:t xml:space="preserve">Enforce upstream alignment (no skipped rungs)</w:t>
            </w:r>
          </w:p>
        </w:tc>
        <w:tc>
          <w:tcPr>
            <w:tcW w:type="dxa" w:w="3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sz w:val="20"/>
                <w:szCs w:val="20"/>
              </w:rPr>
              <w:t xml:space="preserve">Line-of-sight from individual work to enterprise strategy</w:t>
            </w:r>
          </w:p>
        </w:tc>
        <w:tc>
          <w:tcPr>
            <w:tcW w:type="dxa" w:w="29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sz w:val="20"/>
                <w:szCs w:val="20"/>
              </w:rPr>
              <w:t xml:space="preserve">Stronger strategic alignment, auditable via grounding lines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Standardize Risk Culture and Leadership messaging</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Consistent, on-brand risk and leadership language bank-wide</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Reduced compliance/brand risk from ad hoc wording</w:t>
            </w:r>
          </w:p>
        </w:tc>
      </w:tr>
      <w:tr>
        <w:tc>
          <w:tcPr>
            <w:tcW w:type="dxa" w:w="3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sz w:val="20"/>
                <w:szCs w:val="20"/>
              </w:rPr>
              <w:t xml:space="preserve">Provide a low-friction, minimal-interaction UX</w:t>
            </w:r>
          </w:p>
        </w:tc>
        <w:tc>
          <w:tcPr>
            <w:tcW w:type="dxa" w:w="3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sz w:val="20"/>
                <w:szCs w:val="20"/>
              </w:rPr>
              <w:t xml:space="preserve">Higher adoption by busy executives and managers</w:t>
            </w:r>
          </w:p>
        </w:tc>
        <w:tc>
          <w:tcPr>
            <w:tcW w:type="dxa" w:w="29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sz w:val="20"/>
                <w:szCs w:val="20"/>
              </w:rPr>
              <w:t xml:space="preserve">Higher utilization vs. manual objective-setting tools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Pilot via SVP+ Demo Mode ahead of full rollout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De-risked, controlled introduction to HR executives</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Validated concept before LOB-wide investment</w:t>
            </w:r>
          </w:p>
        </w:tc>
      </w:tr>
    </w:tbl>
    <w:p>
      <w:pPr>
        <w:pStyle w:val="Heading1"/>
      </w:pPr>
      <w:r>
        <w:t xml:space="preserve">5. Process Flow</w:t>
      </w:r>
    </w:p>
    <w:p>
      <w:pPr>
        <w:spacing w:after="120"/>
      </w:pPr>
      <w:r>
        <w:t xml:space="preserve">End-to-end flow, common to both agents:</w:t>
      </w:r>
    </w:p>
    <w:p>
      <w:pPr>
        <w:spacing w:after="80"/>
      </w:pPr>
      <w:r>
        <w:rPr>
          <w:b/>
          <w:bCs/>
          <w:color w:val="00532D"/>
        </w:rPr>
        <w:t xml:space="preserve">User Input</w:t>
      </w:r>
      <w:r>
        <w:t xml:space="preserve">  (role/level, people-manager status, team vs. individual request, optional new upstream doc)</w:t>
      </w:r>
    </w:p>
    <w:p>
      <w:r>
        <w:rPr>
          <w:color w:val="008A00"/>
        </w:rPr>
        <w:t xml:space="preserve">        ↓</w:t>
      </w:r>
    </w:p>
    <w:p>
      <w:pPr>
        <w:spacing w:after="80"/>
      </w:pPr>
      <w:r>
        <w:rPr>
          <w:b/>
          <w:bCs/>
          <w:color w:val="00532D"/>
        </w:rPr>
        <w:t xml:space="preserve">Pre-Generation Checks</w:t>
      </w:r>
      <w:r>
        <w:t xml:space="preserve">  — confirm level/function (Demo Mode) or read profile data (Enterprise); confirm people-manager status; identify the level directly above the user</w:t>
      </w:r>
    </w:p>
    <w:p>
      <w:r>
        <w:rPr>
          <w:color w:val="008A00"/>
        </w:rPr>
        <w:t xml:space="preserve">        ↓</w:t>
      </w:r>
    </w:p>
    <w:p>
      <w:pPr>
        <w:spacing w:after="80"/>
      </w:pPr>
      <w:r>
        <w:rPr>
          <w:b/>
          <w:bCs/>
          <w:color w:val="00532D"/>
        </w:rPr>
        <w:t xml:space="preserve">Knowledge Retrieval</w:t>
      </w:r>
      <w:r>
        <w:t xml:space="preserve">  — pull relevant Strategy, Group Head Objectives, Risk Culture, and Leadership Principles decks; apply input-priority order (user input &gt; attached sources &gt; profile/inference)</w:t>
      </w:r>
    </w:p>
    <w:p>
      <w:r>
        <w:rPr>
          <w:color w:val="008A00"/>
        </w:rPr>
        <w:t xml:space="preserve">        ↓</w:t>
      </w:r>
    </w:p>
    <w:p>
      <w:pPr>
        <w:spacing w:after="80"/>
      </w:pPr>
      <w:r>
        <w:rPr>
          <w:b/>
          <w:bCs/>
          <w:color w:val="00532D"/>
        </w:rPr>
        <w:t xml:space="preserve">Analysis &amp; Card-Type Decision</w:t>
      </w:r>
      <w:r>
        <w:t xml:space="preserve">  — determine Team vs. Individual; determine card set (Business Objective only, or +Risk Culture, or +Risk Culture +How We Lead); silently validate alignment, specificity, measurability</w:t>
      </w:r>
    </w:p>
    <w:p>
      <w:r>
        <w:rPr>
          <w:color w:val="008A00"/>
        </w:rPr>
        <w:t xml:space="preserve">        ↓</w:t>
      </w:r>
    </w:p>
    <w:p>
      <w:pPr>
        <w:spacing w:after="240"/>
      </w:pPr>
      <w:r>
        <w:rPr>
          <w:b/>
          <w:bCs/>
          <w:color w:val="00532D"/>
        </w:rPr>
        <w:t xml:space="preserve">Output Generation</w:t>
      </w:r>
      <w:r>
        <w:t xml:space="preserve">  — disclaimer → fenced plain-text card(s) in Workday format → grounding line(s) → double-check reminder</w:t>
      </w:r>
    </w:p>
    <w:p>
      <w:pPr>
        <w:pStyle w:val="Heading1"/>
      </w:pPr>
      <w:r>
        <w:t xml:space="preserve">6. 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rPr>
          <w:tblHeader/>
        </w:trPr>
        <w:tc>
          <w:tcPr>
            <w:tcW w:type="dxa" w:w="1000"/>
            <w:tcBorders>
              <w:top w:val="single" w:color="CCCCCC" w:sz="1"/>
              <w:left w:val="single" w:color="CCCCCC" w:sz="1"/>
              <w:bottom w:val="single" w:color="CCCCCC" w:sz="1"/>
              <w:right w:val="single" w:color="CCCCCC" w:sz="1"/>
            </w:tcBorders>
            <w:shd w:fill="00532D" w:val="clear"/>
            <w:tcMar>
              <w:top w:type="dxa" w:w="80"/>
              <w:left w:type="dxa" w:w="120"/>
              <w:bottom w:type="dxa" w:w="80"/>
              <w:right w:type="dxa" w:w="120"/>
            </w:tcMar>
          </w:tcPr>
          <w:p>
            <w:r>
              <w:rPr>
                <w:b/>
                <w:bCs/>
                <w:color w:val="FFFFFF"/>
                <w:sz w:val="20"/>
                <w:szCs w:val="20"/>
              </w:rPr>
              <w:t xml:space="preserve">ID</w:t>
            </w:r>
          </w:p>
        </w:tc>
        <w:tc>
          <w:tcPr>
            <w:tcW w:type="dxa" w:w="8360"/>
            <w:tcBorders>
              <w:top w:val="single" w:color="CCCCCC" w:sz="1"/>
              <w:left w:val="single" w:color="CCCCCC" w:sz="1"/>
              <w:bottom w:val="single" w:color="CCCCCC" w:sz="1"/>
              <w:right w:val="single" w:color="CCCCCC" w:sz="1"/>
            </w:tcBorders>
            <w:shd w:fill="00532D" w:val="clear"/>
            <w:tcMar>
              <w:top w:type="dxa" w:w="80"/>
              <w:left w:type="dxa" w:w="120"/>
              <w:bottom w:type="dxa" w:w="80"/>
              <w:right w:type="dxa" w:w="120"/>
            </w:tcMar>
          </w:tcPr>
          <w:p>
            <w:r>
              <w:rPr>
                <w:b/>
                <w:bCs/>
                <w:color w:val="FFFFFF"/>
                <w:sz w:val="20"/>
                <w:szCs w:val="20"/>
              </w:rPr>
              <w:t xml:space="preserve">Requirement Description</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FR-01</w:t>
            </w:r>
          </w:p>
        </w:tc>
        <w:tc>
          <w:tcPr>
            <w:tcW w:type="dxa" w:w="8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System shall display the AI-generation disclaimer exactly once, before any cards, on every response.</w:t>
            </w:r>
          </w:p>
        </w:tc>
      </w:tr>
      <w:tr>
        <w:tc>
          <w:tcPr>
            <w:tcW w:type="dxa" w:w="1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sz w:val="20"/>
                <w:szCs w:val="20"/>
              </w:rPr>
              <w:t xml:space="preserve">FR-02</w:t>
            </w:r>
          </w:p>
        </w:tc>
        <w:tc>
          <w:tcPr>
            <w:tcW w:type="dxa" w:w="83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sz w:val="20"/>
                <w:szCs w:val="20"/>
              </w:rPr>
              <w:t xml:space="preserve">System shall determine objective type (team or individual) before generating any content.</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FR-03</w:t>
            </w:r>
          </w:p>
        </w:tc>
        <w:tc>
          <w:tcPr>
            <w:tcW w:type="dxa" w:w="8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System shall restrict team-level output to 3–5 Business Objective cards, with no Risk Culture or How We Lead cards under any circumstance.</w:t>
            </w:r>
          </w:p>
        </w:tc>
      </w:tr>
      <w:tr>
        <w:tc>
          <w:tcPr>
            <w:tcW w:type="dxa" w:w="1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sz w:val="20"/>
                <w:szCs w:val="20"/>
              </w:rPr>
              <w:t xml:space="preserve">FR-04</w:t>
            </w:r>
          </w:p>
        </w:tc>
        <w:tc>
          <w:tcPr>
            <w:tcW w:type="dxa" w:w="83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sz w:val="20"/>
                <w:szCs w:val="20"/>
              </w:rPr>
              <w:t xml:space="preserve">System shall determine people-manager status by asking once if not already known, and shall not infer it from level alone.</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FR-05</w:t>
            </w:r>
          </w:p>
        </w:tc>
        <w:tc>
          <w:tcPr>
            <w:tcW w:type="dxa" w:w="8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System shall identify the level directly above the requesting user and flag, on every request, if that upstream objective is unavailable.</w:t>
            </w:r>
          </w:p>
        </w:tc>
      </w:tr>
      <w:tr>
        <w:tc>
          <w:tcPr>
            <w:tcW w:type="dxa" w:w="1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sz w:val="20"/>
                <w:szCs w:val="20"/>
              </w:rPr>
              <w:t xml:space="preserve">FR-06</w:t>
            </w:r>
          </w:p>
        </w:tc>
        <w:tc>
          <w:tcPr>
            <w:tcW w:type="dxa" w:w="83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sz w:val="20"/>
                <w:szCs w:val="20"/>
              </w:rPr>
              <w:t xml:space="preserve">System shall trigger full regeneration (not a reword) whenever a new upstream objective is supplied by the user.</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FR-07</w:t>
            </w:r>
          </w:p>
        </w:tc>
        <w:tc>
          <w:tcPr>
            <w:tcW w:type="dxa" w:w="8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System shall never reproduce an attached Group Head (or equivalent upstream) document verbatim; it must generate a more granular, operationalized version.</w:t>
            </w:r>
          </w:p>
        </w:tc>
      </w:tr>
      <w:tr>
        <w:tc>
          <w:tcPr>
            <w:tcW w:type="dxa" w:w="1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sz w:val="20"/>
                <w:szCs w:val="20"/>
              </w:rPr>
              <w:t xml:space="preserve">FR-08</w:t>
            </w:r>
          </w:p>
        </w:tc>
        <w:tc>
          <w:tcPr>
            <w:tcW w:type="dxa" w:w="83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sz w:val="20"/>
                <w:szCs w:val="20"/>
              </w:rPr>
              <w:t xml:space="preserve">System shall source Risk Culture and How We Lead card content from the corresponding named decks, matched to the user's tier, and shall not paraphrase the Risk Culture (What) freely.</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FR-09</w:t>
            </w:r>
          </w:p>
        </w:tc>
        <w:tc>
          <w:tcPr>
            <w:tcW w:type="dxa" w:w="8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System shall format every card as a fenced plain-text block, plain characters only, no markdown tables, no emojis, no bracketed citation IDs.</w:t>
            </w:r>
          </w:p>
        </w:tc>
      </w:tr>
      <w:tr>
        <w:tc>
          <w:tcPr>
            <w:tcW w:type="dxa" w:w="1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sz w:val="20"/>
                <w:szCs w:val="20"/>
              </w:rPr>
              <w:t xml:space="preserve">FR-10</w:t>
            </w:r>
          </w:p>
        </w:tc>
        <w:tc>
          <w:tcPr>
            <w:tcW w:type="dxa" w:w="83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sz w:val="20"/>
                <w:szCs w:val="20"/>
              </w:rPr>
              <w:t xml:space="preserve">System shall append a grounding line per card set, citing either the named upstream source or an explicit "Inferred" label with the missing level identified.</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FR-11</w:t>
            </w:r>
          </w:p>
        </w:tc>
        <w:tc>
          <w:tcPr>
            <w:tcW w:type="dxa" w:w="8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System shall close every response with the standard double-check reminder.</w:t>
            </w:r>
          </w:p>
        </w:tc>
      </w:tr>
      <w:tr>
        <w:tc>
          <w:tcPr>
            <w:tcW w:type="dxa" w:w="1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sz w:val="20"/>
                <w:szCs w:val="20"/>
              </w:rPr>
              <w:t xml:space="preserve">FR-12</w:t>
            </w:r>
          </w:p>
        </w:tc>
        <w:tc>
          <w:tcPr>
            <w:tcW w:type="dxa" w:w="83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sz w:val="20"/>
                <w:szCs w:val="20"/>
              </w:rPr>
              <w:t xml:space="preserve">(SVP+ Demo Mode only) System shall confirm both level and HR line of business explicitly before generating, and shall never read organizational profile, M365 role, or job title data.</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FR-13</w:t>
            </w:r>
          </w:p>
        </w:tc>
        <w:tc>
          <w:tcPr>
            <w:tcW w:type="dxa" w:w="8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(SVP+ Demo Mode only) System shall treat a prior in-session generated objective as valid upstream input for a logically continuous follow-on request (Same-Person Cascade).</w:t>
            </w:r>
          </w:p>
        </w:tc>
      </w:tr>
      <w:tr>
        <w:tc>
          <w:tcPr>
            <w:tcW w:type="dxa" w:w="1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sz w:val="20"/>
                <w:szCs w:val="20"/>
              </w:rPr>
              <w:t xml:space="preserve">FR-14</w:t>
            </w:r>
          </w:p>
        </w:tc>
        <w:tc>
          <w:tcPr>
            <w:tcW w:type="dxa" w:w="83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sz w:val="20"/>
                <w:szCs w:val="20"/>
              </w:rPr>
              <w:t xml:space="preserve">(Enterprise agent) System shall use the Copilot role-hierarchy flag to infer the user's role automatically, with explicit user input always taking precedence.</w:t>
            </w:r>
          </w:p>
        </w:tc>
      </w:tr>
    </w:tbl>
    <w:p>
      <w:pPr>
        <w:pStyle w:val="Heading1"/>
      </w:pPr>
      <w:r>
        <w:t xml:space="preserve">7. Business Rules</w:t>
      </w:r>
    </w:p>
    <w:p>
      <w:pPr>
        <w:pStyle w:val="ListParagraph"/>
        <w:numPr>
          <w:ilvl w:val="0"/>
          <w:numId w:val="2"/>
        </w:numPr>
        <w:spacing w:after="60"/>
      </w:pPr>
      <w:r>
        <w:t xml:space="preserve">Input priority is fixed: explicit user input &gt; attached knowledge sources &gt; organizational profile data (Enterprise only) &gt; conversation context &gt; inference.</w:t>
      </w:r>
    </w:p>
    <w:p>
      <w:pPr>
        <w:pStyle w:val="ListParagraph"/>
        <w:numPr>
          <w:ilvl w:val="0"/>
          <w:numId w:val="2"/>
        </w:numPr>
        <w:spacing w:after="60"/>
      </w:pPr>
      <w:r>
        <w:t xml:space="preserve">A Manager's direct upstream is their Senior Manager, never the SVP directly, unless explicitly told otherwise — no rung may be skipped silently.</w:t>
      </w:r>
    </w:p>
    <w:p>
      <w:pPr>
        <w:pStyle w:val="ListParagraph"/>
        <w:numPr>
          <w:ilvl w:val="0"/>
          <w:numId w:val="2"/>
        </w:numPr>
        <w:spacing w:after="60"/>
      </w:pPr>
      <w:r>
        <w:t xml:space="preserve">Team-level requests never receive Risk Culture or How We Lead cards, regardless of the requester's people-manager status or prior conversation history.</w:t>
      </w:r>
    </w:p>
    <w:p>
      <w:pPr>
        <w:pStyle w:val="ListParagraph"/>
        <w:numPr>
          <w:ilvl w:val="0"/>
          <w:numId w:val="2"/>
        </w:numPr>
        <w:spacing w:after="60"/>
      </w:pPr>
      <w:r>
        <w:t xml:space="preserve">Individual objectives for non-people-managers always include exactly 1 Risk Culture card; confirmed people managers always add exactly 1 How We Lead card as well.</w:t>
      </w:r>
    </w:p>
    <w:p>
      <w:pPr>
        <w:pStyle w:val="ListParagraph"/>
        <w:numPr>
          <w:ilvl w:val="0"/>
          <w:numId w:val="2"/>
        </w:numPr>
        <w:spacing w:after="60"/>
      </w:pPr>
      <w:r>
        <w:t xml:space="preserve">Success measures default to 2 per card; a 3rd is added only if genuinely necessary for measurability — never to pad.</w:t>
      </w:r>
    </w:p>
    <w:p>
      <w:pPr>
        <w:pStyle w:val="ListParagraph"/>
        <w:numPr>
          <w:ilvl w:val="0"/>
          <w:numId w:val="2"/>
        </w:numPr>
        <w:spacing w:after="60"/>
      </w:pPr>
      <w:r>
        <w:t xml:space="preserve">Revisions (style/scope changes with no new data) return only the affected card(s); new upstream data always triggers a full regeneration instead.</w:t>
      </w:r>
    </w:p>
    <w:p>
      <w:pPr>
        <w:pStyle w:val="ListParagraph"/>
        <w:numPr>
          <w:ilvl w:val="0"/>
          <w:numId w:val="2"/>
        </w:numPr>
        <w:spacing w:after="60"/>
      </w:pPr>
      <w:r>
        <w:t xml:space="preserve">Risk Culture (What) wording must closely match the source deck for the user's tier — it is explicitly exempted from the "always paraphrase upstream" rule.</w:t>
      </w:r>
    </w:p>
    <w:p>
      <w:pPr>
        <w:pStyle w:val="ListParagraph"/>
        <w:numPr>
          <w:ilvl w:val="0"/>
          <w:numId w:val="2"/>
        </w:numPr>
        <w:spacing w:after="60"/>
      </w:pPr>
      <w:r>
        <w:t xml:space="preserve">(SVP+ Demo Mode) Valid levels are limited to SVP+ and Senior Manager (L11); valid HR lines of business are limited to HR Shared Services, HR Talent, and HR Total Rewards.</w:t>
      </w:r>
    </w:p>
    <w:p>
      <w:pPr>
        <w:pStyle w:val="Heading1"/>
      </w:pPr>
      <w:r>
        <w:t xml:space="preserve">8. Assumptions</w:t>
      </w:r>
    </w:p>
    <w:p>
      <w:pPr>
        <w:pStyle w:val="ListParagraph"/>
        <w:numPr>
          <w:ilvl w:val="0"/>
          <w:numId w:val="2"/>
        </w:numPr>
        <w:spacing w:after="60"/>
      </w:pPr>
      <w:r>
        <w:t xml:space="preserve">The four named knowledge sources (Strategy, Group Head Objectives, Risk Culture, Leadership Principles) are kept current and reloaded each performance cycle; no refresh process is defined in the instructions.</w:t>
      </w:r>
    </w:p>
    <w:p>
      <w:pPr>
        <w:pStyle w:val="ListParagraph"/>
        <w:numPr>
          <w:ilvl w:val="0"/>
          <w:numId w:val="2"/>
        </w:numPr>
        <w:spacing w:after="60"/>
      </w:pPr>
      <w:r>
        <w:t xml:space="preserve">The Copilot role-hierarchy flag referenced for the Enterprise agent is enabled and populated accurately enough to infer level; per your notes, people-manager status specifically is not always reliably inferable from this data.</w:t>
      </w:r>
    </w:p>
    <w:p>
      <w:pPr>
        <w:pStyle w:val="ListParagraph"/>
        <w:numPr>
          <w:ilvl w:val="0"/>
          <w:numId w:val="2"/>
        </w:numPr>
        <w:spacing w:after="60"/>
      </w:pPr>
      <w:r>
        <w:t xml:space="preserve">"Under five minutes" end-to-end is a design target rather than a measured SLA, and may be affected by knowledge-source read time (see Risks).</w:t>
      </w:r>
    </w:p>
    <w:p>
      <w:pPr>
        <w:pStyle w:val="ListParagraph"/>
        <w:numPr>
          <w:ilvl w:val="0"/>
          <w:numId w:val="2"/>
        </w:numPr>
        <w:spacing w:after="60"/>
      </w:pPr>
      <w:r>
        <w:t xml:space="preserve">Agent sharing within the bank is currently disabled at the platform level, so initial usage is assumed to be limited to users with direct, individual access until that capability is enabled.</w:t>
      </w:r>
    </w:p>
    <w:p>
      <w:pPr>
        <w:pStyle w:val="ListParagraph"/>
        <w:numPr>
          <w:ilvl w:val="0"/>
          <w:numId w:val="2"/>
        </w:numPr>
        <w:spacing w:after="60"/>
      </w:pPr>
      <w:r>
        <w:t xml:space="preserve">The Enterprise agent's intended behavior — being more reasoning-oriented and helping users arrive at a good output — is a stated direction from your notes, not yet reflected as written guidance in the current Enterprise instructions provided, which currently mirror the "never coach, never explain reasoning, final outputs only" stance of the SVP+ agent.</w:t>
      </w:r>
    </w:p>
    <w:p>
      <w:pPr>
        <w:pStyle w:val="Heading1"/>
      </w:pPr>
      <w:r>
        <w:t xml:space="preserve">9. Risks and Gaps</w:t>
      </w:r>
    </w:p>
    <w:p>
      <w:pPr>
        <w:pStyle w:val="Heading2"/>
      </w:pPr>
      <w:r>
        <w:t xml:space="preserve">9.1 Performance &amp; Scale</w:t>
      </w:r>
    </w:p>
    <w:p>
      <w:pPr>
        <w:pStyle w:val="ListParagraph"/>
        <w:numPr>
          <w:ilvl w:val="0"/>
          <w:numId w:val="2"/>
        </w:numPr>
        <w:spacing w:after="60"/>
      </w:pPr>
      <w:r>
        <w:t xml:space="preserve">Each agent reads its full set of knowledge sources before producing a first response, creating latency. This is identified as a risk for broader rollout across multiple lines of business.</w:t>
      </w:r>
    </w:p>
    <w:p>
      <w:pPr>
        <w:pStyle w:val="ListParagraph"/>
        <w:numPr>
          <w:ilvl w:val="0"/>
          <w:numId w:val="2"/>
        </w:numPr>
        <w:spacing w:after="60"/>
      </w:pPr>
      <w:r>
        <w:t xml:space="preserve">Recommended mitigation (per your notes): build separate agents per line of business (HR, GTS, TD&amp;S, etc.) rather than one consolidated agent, to keep knowledge sets small and response times low.</w:t>
      </w:r>
    </w:p>
    <w:p>
      <w:pPr>
        <w:pStyle w:val="Heading2"/>
      </w:pPr>
      <w:r>
        <w:t xml:space="preserve">9.2 Data Contamination</w:t>
      </w:r>
    </w:p>
    <w:p>
      <w:pPr>
        <w:pStyle w:val="ListParagraph"/>
        <w:numPr>
          <w:ilvl w:val="0"/>
          <w:numId w:val="2"/>
        </w:numPr>
        <w:spacing w:after="60"/>
      </w:pPr>
      <w:r>
        <w:t xml:space="preserve">Consolidating all LOBs' knowledge sources into a single agent risks cross-contamination — e.g., the agent pulling HR data into a technology-function objective, or vice versa.</w:t>
      </w:r>
    </w:p>
    <w:p>
      <w:pPr>
        <w:pStyle w:val="ListParagraph"/>
        <w:numPr>
          <w:ilvl w:val="0"/>
          <w:numId w:val="2"/>
        </w:numPr>
        <w:spacing w:after="60"/>
      </w:pPr>
      <w:r>
        <w:t xml:space="preserve">Keeping LOBs on separate agents reduces this risk but increases the operational overhead of managing, updating, and supporting many agents in parallel.</w:t>
      </w:r>
    </w:p>
    <w:p>
      <w:pPr>
        <w:pStyle w:val="Heading2"/>
      </w:pPr>
      <w:r>
        <w:t xml:space="preserve">9.3 Platform / Rollout Constraints</w:t>
      </w:r>
    </w:p>
    <w:p>
      <w:pPr>
        <w:pStyle w:val="ListParagraph"/>
        <w:numPr>
          <w:ilvl w:val="0"/>
          <w:numId w:val="2"/>
        </w:numPr>
        <w:spacing w:after="60"/>
      </w:pPr>
      <w:r>
        <w:t xml:space="preserve">Agent sharing is currently disabled at the bank, which blocks a self-serve rollout model; this requires coordination with the Copilot platform team, including a defined process for users to request access.</w:t>
      </w:r>
    </w:p>
    <w:p>
      <w:pPr>
        <w:pStyle w:val="Heading2"/>
      </w:pPr>
      <w:r>
        <w:t xml:space="preserve">9.4 Role &amp; People-Manager Detection</w:t>
      </w:r>
    </w:p>
    <w:p>
      <w:pPr>
        <w:pStyle w:val="ListParagraph"/>
        <w:numPr>
          <w:ilvl w:val="0"/>
          <w:numId w:val="2"/>
        </w:numPr>
        <w:spacing w:after="60"/>
      </w:pPr>
      <w:r>
        <w:t xml:space="preserve">The role-hierarchy flag is enabled in Copilot so the Enterprise agent can attempt to infer a user's role automatically, but it is not always able to reliably determine people-manager status, which the agent depends on to select the correct card set.</w:t>
      </w:r>
    </w:p>
    <w:p>
      <w:pPr>
        <w:pStyle w:val="Heading2"/>
      </w:pPr>
      <w:r>
        <w:t xml:space="preserve">9.5 Behavioral Divergence Between Agents</w:t>
      </w:r>
    </w:p>
    <w:p>
      <w:pPr>
        <w:pStyle w:val="ListParagraph"/>
        <w:numPr>
          <w:ilvl w:val="0"/>
          <w:numId w:val="2"/>
        </w:numPr>
        <w:spacing w:after="60"/>
      </w:pPr>
      <w:r>
        <w:t xml:space="preserve">Both agents' current written instructions specify a strict "never coach, never explain reasoning, final outputs only" behavior. Per your notes, the Enterprise agent is intended to behave differently — offering more reasoning to help users arrive at a good output — while the SVP+ agent is intended to remain output-only as currently built. This distinction is not yet reflected in the Enterprise agent's instructions and should be treated as an open requirement, not a documented current state.</w:t>
      </w:r>
    </w:p>
    <w:p>
      <w:pPr>
        <w:pStyle w:val="Heading2"/>
      </w:pPr>
      <w:r>
        <w:t xml:space="preserve">9.6 Knowledge Source Dependency</w:t>
      </w:r>
    </w:p>
    <w:p>
      <w:pPr>
        <w:pStyle w:val="ListParagraph"/>
        <w:numPr>
          <w:ilvl w:val="0"/>
          <w:numId w:val="2"/>
        </w:numPr>
        <w:spacing w:after="60"/>
      </w:pPr>
      <w:r>
        <w:t xml:space="preserve">Risk Culture and How We Lead cards have a hard dependency on their respective source decks; if a deck is missing, outdated, or mis-tiered, the agent either cannot produce that card or may use an incorrect tier's wording.</w:t>
      </w:r>
    </w:p>
    <w:p>
      <w:pPr>
        <w:pStyle w:val="ListParagraph"/>
        <w:numPr>
          <w:ilvl w:val="0"/>
          <w:numId w:val="2"/>
        </w:numPr>
        <w:spacing w:after="60"/>
      </w:pPr>
      <w:r>
        <w:t xml:space="preserve">No documents were supplied for this analysis, so source content, tiering structure, and update cadence are all currently unverified assumptions (see Section 8).</w:t>
      </w:r>
    </w:p>
    <w:p>
      <w:pPr>
        <w:pStyle w:val="Heading2"/>
      </w:pPr>
      <w:r>
        <w:t xml:space="preserve">9.7 Missing Documentation</w:t>
      </w:r>
    </w:p>
    <w:p>
      <w:pPr>
        <w:pStyle w:val="ListParagraph"/>
        <w:numPr>
          <w:ilvl w:val="0"/>
          <w:numId w:val="2"/>
        </w:numPr>
        <w:spacing w:after="60"/>
      </w:pPr>
      <w:r>
        <w:t xml:space="preserve">No sample Workday outputs were provided, so actual card output could not be validated against the written format rules in this review.</w:t>
      </w:r>
    </w:p>
    <w:p>
      <w:pPr>
        <w:pStyle w:val="ListParagraph"/>
        <w:numPr>
          <w:ilvl w:val="0"/>
          <w:numId w:val="2"/>
        </w:numPr>
        <w:spacing w:after="60"/>
      </w:pPr>
      <w:r>
        <w:t xml:space="preserve">No Copilot configuration settings (model, temperature, connectors, knowledge source list/permissions) were supplied; Section 2 reflects only what is inferable from the instructions text.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Page </w:t>
    </w:r>
    <w:r>
      <w:rPr>
        <w:color w:val="595959"/>
        <w:sz w:val="16"/>
        <w:szCs w:val="16"/>
      </w:rPr>
      <w:fldChar w:fldCharType="begin"/>
      <w:instrText xml:space="preserve">PAGE</w:instrText>
      <w:fldChar w:fldCharType="separate"/>
      <w:fldChar w:fldCharType="end"/>
    </w:r>
    <w:r>
      <w:rPr>
        <w:color w:val="595959"/>
        <w:sz w:val="16"/>
        <w:szCs w:val="16"/>
      </w:rPr>
      <w:t xml:space="preserve"> of </w:t>
    </w:r>
    <w:r>
      <w:rPr>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360"/>
      </w:tabs>
    </w:pPr>
    <w:r>
      <w:rPr>
        <w:color w:val="595959"/>
        <w:sz w:val="16"/>
        <w:szCs w:val="16"/>
      </w:rPr>
      <w:t xml:space="preserve">Objective Pilot — Solution Design Document</w:t>
    </w:r>
    <w:r>
      <w:rPr>
        <w:color w:val="595959"/>
        <w:sz w:val="16"/>
        <w:szCs w:val="16"/>
      </w:rPr>
      <w:t xml:space="preserve">	Internal / Interne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008A00" w:sz="6" w:space="4"/>
      </w:pBdr>
      <w:spacing w:after="200" w:before="360"/>
      <w:outlineLvl w:val="0"/>
    </w:pPr>
    <w:rPr>
      <w:rFonts w:ascii="Arial" w:cs="Arial" w:eastAsia="Arial" w:hAnsi="Arial"/>
      <w:b/>
      <w:bCs/>
      <w:color w:val="00532D"/>
      <w:sz w:val="30"/>
      <w:szCs w:val="30"/>
    </w:rPr>
  </w:style>
  <w:style w:type="paragraph" w:styleId="Heading2">
    <w:name w:val="Heading 2"/>
    <w:basedOn w:val="Normal"/>
    <w:next w:val="Normal"/>
    <w:qFormat/>
    <w:pPr>
      <w:spacing w:after="120" w:before="200"/>
      <w:outlineLvl w:val="1"/>
    </w:pPr>
    <w:rPr>
      <w:rFonts w:ascii="Arial" w:cs="Arial" w:eastAsia="Arial" w:hAnsi="Arial"/>
      <w:b/>
      <w:bCs/>
      <w:color w:val="008A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2026-06-24T22:38:57.974Z</dcterms:created>
  <dcterms:modified xsi:type="dcterms:W3CDTF">2026-06-24T22:38:57.989Z</dcterms:modified>
</cp:coreProperties>
</file>

<file path=docProps/custom.xml><?xml version="1.0" encoding="utf-8"?>
<Properties xmlns="http://schemas.openxmlformats.org/officeDocument/2006/custom-properties" xmlns:vt="http://schemas.openxmlformats.org/officeDocument/2006/docPropsVTypes"/>
</file>