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2A44"/>
          <w:sz w:val="30"/>
          <w:szCs w:val="30"/>
        </w:rPr>
        <w:t xml:space="preserve">EMS INTEGRATION — DEVELOPER SOLUTIONING GUIDE</w:t>
      </w:r>
    </w:p>
    <w:p>
      <w:pPr>
        <w:spacing w:after="20"/>
      </w:pPr>
      <w:r>
        <w:rPr>
          <w:b/>
          <w:bCs/>
          <w:color w:val="2E5C8A"/>
          <w:sz w:val="20"/>
          <w:szCs w:val="20"/>
        </w:rPr>
        <w:t xml:space="preserve">USFF × EMS/SPID Consolidation</w:t>
      </w:r>
    </w:p>
    <w:p>
      <w:pPr>
        <w:spacing w:after="160"/>
      </w:pPr>
      <w:r>
        <w:rPr>
          <w:i/>
          <w:iCs/>
          <w:color w:val="5A5A5A"/>
          <w:sz w:val="16"/>
          <w:szCs w:val="16"/>
        </w:rPr>
        <w:t xml:space="preserve">What to know, and what to go obtain, before solutioning. High-level by design — see the Roadmap/Backlog for full detail on any item.</w:t>
      </w:r>
    </w:p>
    <w:p>
      <w:pPr>
        <w:pBdr>
          <w:bottom w:val="single" w:color="1F2A44" w:sz="6" w:space="1"/>
        </w:pBdr>
        <w:spacing w:after="160"/>
      </w:pPr>
    </w:p>
    <w:p>
      <w:pPr>
        <w:pStyle w:val="Heading2"/>
        <w:spacing w:after="180" w:before="360"/>
      </w:pPr>
      <w:r>
        <w:rPr>
          <w:b/>
          <w:bCs/>
          <w:color w:val="2E5C8A"/>
          <w:sz w:val="26"/>
          <w:szCs w:val="26"/>
        </w:rPr>
        <w:t xml:space="preserve">1. New Flows Being Captured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GTS front door: GTS? → Type of Expense (5 tiles) → per-type routing. Non-GTS users see today's USFF wizard, unchanged.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5 expense types: Approval to Hire, Vendor Expense, Project Request, Other Approval Requests, Invoice Submission.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Pipeline pre-approval (2 distinct forms — Vendor, ATH) — required above $100K spend or contractor overtenure, before contract execution.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SPID (contract execution approval) — same shape as Pipeline, hands off to Ariba/DocuSign.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Agenda/meeting-based approval — status-driven, not button-click; BOM runs agendas via an Agenda Builder.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Management Consulting sub-workflow — Proof of Funding, auto-generated Excel package, 2-day SLA.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Downstream hand-offs — Onboarding, Invoicing, GD Hub, non-Ariba invoices to Shilpa's team.</w:t>
      </w:r>
    </w:p>
    <w:p>
      <w:pPr>
        <w:pStyle w:val="Heading2"/>
        <w:spacing w:after="180" w:before="360"/>
      </w:pPr>
      <w:r>
        <w:rPr>
          <w:b/>
          <w:bCs/>
          <w:color w:val="2E5C8A"/>
          <w:sz w:val="26"/>
          <w:szCs w:val="26"/>
        </w:rPr>
        <w:t xml:space="preserve">2. New Data Sources / Systems to Access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EMS shared data lake — technology TBD (Dataverse / Azure SQL / SharePoint — confirm with platform team).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SharePoint “Skills Master” list (SkillSet, Skill Level).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Rate Table repository (Location, Role, Seniority, Currency → Rate).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Onboarding Portal — read/extract access.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Invoicing Portal — read/extract access.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GD Hub — feed/webhook access.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Ariba — SR# validation only; DocuSign — link-out only. Neither is built or replicated in USFF.</w:t>
      </w:r>
    </w:p>
    <w:p>
      <w:pPr>
        <w:pStyle w:val="Heading2"/>
        <w:spacing w:after="180" w:before="360"/>
      </w:pPr>
      <w:r>
        <w:rPr>
          <w:b/>
          <w:bCs/>
          <w:color w:val="2E5C8A"/>
          <w:sz w:val="26"/>
          <w:szCs w:val="26"/>
        </w:rPr>
        <w:t xml:space="preserve">3. Reference Data / Files to Obtain From the Business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Full GTS expense-policy document (Approval Matrix bands + Management Consulting criteria) — requested, not yet received.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GTS “cheat sheet” — interim source already in hand; use to seed the Approval Matrix now.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Segment / Business Unit taxonomy, plus a crosswalk to USFF's existing flat LOB list.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Vendor Master and Management-Consulting exception list (Cognizant, TCS, Wipro, Eagle-funded, OEM).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GD-LTC default values (vendor, SOW SR#, resource count).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Skills Master and Rate Table exports (or direct access).</w:t>
      </w:r>
    </w:p>
    <w:p>
      <w:pPr>
        <w:pStyle w:val="Heading2"/>
        <w:spacing w:after="180" w:before="360"/>
      </w:pPr>
      <w:r>
        <w:rPr>
          <w:b/>
          <w:bCs/>
          <w:color w:val="2E5C8A"/>
          <w:sz w:val="26"/>
          <w:szCs w:val="26"/>
        </w:rPr>
        <w:t xml:space="preserve">4. Roles — Simplified for Build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Collapsed to functional groups — do not build one role/AD group per approval level (AVP/VP/SVP/EVP/etc.); the specific required approver per request is resolved from Approval Matrix data, not from separate roles.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50"/>
      </w:tblGrid>
      <w:tr>
        <w:trPr>
          <w:tblHeader/>
        </w:trPr>
        <w:tc>
          <w:tcPr>
            <w:tcW w:type="dxa" w:w="270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650"/>
            <w:shd w:fill="1F2A4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 / what it covers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GTS Requestor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 GTS employee submitting a request; identified via the GTS-detection flag.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Pipeline / Approval Reviewer</w:t>
            </w:r>
          </w:p>
        </w:tc>
        <w:tc>
          <w:tcPr>
            <w:tcW w:type="dxa" w:w="6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Covers AVP through SEVP, Finance, and Committee review. One functional role — level is data-driven from the Approval Matrix, not separate roles per level.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BOM Lead</w:t>
            </w:r>
          </w:p>
        </w:tc>
        <w:tc>
          <w:tcPr>
            <w:tcW w:type="dxa" w:w="6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Builds/closes agendas, records approval outcomes on behalf of the meeting.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EMS Admin</w:t>
            </w:r>
          </w:p>
        </w:tc>
        <w:tc>
          <w:tcPr>
            <w:tcW w:type="dxa" w:w="66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Owns reference data — Approval Matrix, vendor/skills/rate tables. Segment-scoped edit rights (“Segment Lead”) are a permission within this role, not a separate one.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2E5C8A"/>
          <w:sz w:val="26"/>
          <w:szCs w:val="26"/>
        </w:rPr>
        <w:t xml:space="preserve">5. AD Groups to Provision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GTS-Approvers — one group; specific approval level resolved via Approval Matrix data. Do not create a group per level.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BOM-Team — agenda-builder access.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EMS-Admin — reference-data admin access.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GTS-Requestor — confirm whether this can come from an existing HR/AD attribute instead of a new group.</w:t>
      </w:r>
    </w:p>
    <w:p>
      <w:pPr>
        <w:pStyle w:val="Heading2"/>
        <w:spacing w:after="180" w:before="360"/>
      </w:pPr>
      <w:r>
        <w:rPr>
          <w:b/>
          <w:bCs/>
          <w:color w:val="2E5C8A"/>
          <w:sz w:val="26"/>
          <w:szCs w:val="26"/>
        </w:rPr>
        <w:t xml:space="preserve">6. External Teams to Coordinate With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Onboarding Portal team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Invoicing Portal team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GD Hub team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Shilpa's team (non-Ariba invoice review)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Skills Master / Rate Table data owners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Data lake / platform team (schema + tech confirmation)</w:t>
      </w:r>
    </w:p>
    <w:p>
      <w:pPr>
        <w:pStyle w:val="Heading2"/>
        <w:spacing w:after="180" w:before="360"/>
      </w:pPr>
      <w:r>
        <w:rPr>
          <w:b/>
          <w:bCs/>
          <w:color w:val="2E5C8A"/>
          <w:sz w:val="26"/>
          <w:szCs w:val="26"/>
        </w:rPr>
        <w:t xml:space="preserve">7. Key Decisions Needed Before Solutioning Locks In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GTS-detection mechanism: system-derived (AD/HR) vs. self-declared.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Is the $100K Pipeline gate the same check as USFF's existing ~$2M gate, or two independent ones?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sz w:val="21"/>
          <w:szCs w:val="21"/>
        </w:rPr>
        <w:t xml:space="preserve">Which single expense type ships first for the September pilot (cost is similar across types — this is a business call).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2026-07-15T01:22:18.031Z</dcterms:created>
  <dcterms:modified xsi:type="dcterms:W3CDTF">2026-07-15T01:22:18.059Z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