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b/>
          <w:bCs/>
          <w:color w:val="1F2A44"/>
          <w:sz w:val="28"/>
          <w:szCs w:val="28"/>
        </w:rPr>
        <w:t xml:space="preserve">EMS INTEGRATION — EXECUTIVE TIMELINE SUMMARY</w:t>
      </w:r>
    </w:p>
    <w:p>
      <w:pPr>
        <w:spacing w:after="20"/>
      </w:pPr>
      <w:r>
        <w:rPr>
          <w:b/>
          <w:bCs/>
          <w:color w:val="2E5C8A"/>
          <w:sz w:val="19"/>
          <w:szCs w:val="19"/>
        </w:rPr>
        <w:t xml:space="preserve">USFF × EMS/SPID Consolidation</w:t>
      </w:r>
    </w:p>
    <w:p>
      <w:pPr>
        <w:spacing w:after="140"/>
      </w:pPr>
      <w:r>
        <w:rPr>
          <w:i/>
          <w:iCs/>
          <w:color w:val="5A5A5A"/>
          <w:sz w:val="15"/>
          <w:szCs w:val="15"/>
        </w:rPr>
        <w:t xml:space="preserve">July 10, 2026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791F" w:sz="18"/>
              <w:left w:val="single" w:color="E0C98A" w:sz="2"/>
              <w:bottom w:val="single" w:color="E0C98A" w:sz="2"/>
              <w:right w:val="single" w:color="E0C98A" w:sz="2"/>
            </w:tcBorders>
            <w:shd w:fill="FBF0DD" w:val="clear"/>
            <w:tcMar>
              <w:top w:type="dxa" w:w="140"/>
              <w:left w:type="dxa" w:w="180"/>
              <w:bottom w:type="dxa" w:w="140"/>
              <w:right w:type="dxa" w:w="180"/>
            </w:tcMar>
          </w:tcPr>
          <w:p>
            <w:pPr>
              <w:spacing w:after="60"/>
            </w:pPr>
            <w:r>
              <w:rPr>
                <w:b/>
                <w:bCs/>
                <w:color w:val="7A4A0A"/>
                <w:sz w:val="20"/>
                <w:szCs w:val="20"/>
              </w:rPr>
              <w:t xml:space="preserve">Bottom line</w:t>
            </w:r>
          </w:p>
          <w:p>
            <w:pPr>
              <w:spacing w:after="0"/>
            </w:pPr>
            <w:r>
              <w:rPr>
                <w:color w:val="3A2A10"/>
                <w:sz w:val="20"/>
                <w:szCs w:val="20"/>
              </w:rPr>
              <w:t xml:space="preserve">A real, working September pilot is achievable — one expense type, native in USFF, approvals still on today's process. Replacing today's approval process entirely is realistic Dec 2026–Feb 2027, depending on staffing. Committing to the full system by September is not realistic and risks the compliance/governance quality this program exists to deliver.</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550"/>
        <w:gridCol w:w="2400"/>
        <w:gridCol w:w="2400"/>
      </w:tblGrid>
      <w:tr>
        <w:trPr>
          <w:tblHeader/>
        </w:trPr>
        <w:tc>
          <w:tcPr>
            <w:tcW w:type="dxa" w:w="4550"/>
            <w:shd w:fill="1F2A44" w:val="clear"/>
            <w:tcMar>
              <w:top w:type="dxa" w:w="80"/>
              <w:left w:type="dxa" w:w="100"/>
              <w:bottom w:type="dxa" w:w="80"/>
              <w:right w:type="dxa" w:w="100"/>
            </w:tcMar>
            <w:vAlign w:val="center"/>
          </w:tcPr>
          <w:p>
            <w:r>
              <w:rPr>
                <w:b/>
                <w:bCs/>
                <w:color w:val="FFFFFF"/>
                <w:sz w:val="19"/>
                <w:szCs w:val="19"/>
              </w:rPr>
              <w:t xml:space="preserve">Milestone</w:t>
            </w:r>
          </w:p>
        </w:tc>
        <w:tc>
          <w:tcPr>
            <w:tcW w:type="dxa" w:w="2400"/>
            <w:shd w:fill="1F2A44" w:val="clear"/>
            <w:tcMar>
              <w:top w:type="dxa" w:w="80"/>
              <w:left w:type="dxa" w:w="100"/>
              <w:bottom w:type="dxa" w:w="80"/>
              <w:right w:type="dxa" w:w="100"/>
            </w:tcMar>
            <w:vAlign w:val="center"/>
          </w:tcPr>
          <w:p>
            <w:r>
              <w:rPr>
                <w:b/>
                <w:bCs/>
                <w:color w:val="FFFFFF"/>
                <w:sz w:val="19"/>
                <w:szCs w:val="19"/>
              </w:rPr>
              <w:t xml:space="preserve">One team</w:t>
            </w:r>
          </w:p>
        </w:tc>
        <w:tc>
          <w:tcPr>
            <w:tcW w:type="dxa" w:w="2400"/>
            <w:shd w:fill="1F2A44" w:val="clear"/>
            <w:tcMar>
              <w:top w:type="dxa" w:w="80"/>
              <w:left w:type="dxa" w:w="100"/>
              <w:bottom w:type="dxa" w:w="80"/>
              <w:right w:type="dxa" w:w="100"/>
            </w:tcMar>
            <w:vAlign w:val="center"/>
          </w:tcPr>
          <w:p>
            <w:r>
              <w:rPr>
                <w:b/>
                <w:bCs/>
                <w:color w:val="FFFFFF"/>
                <w:sz w:val="19"/>
                <w:szCs w:val="19"/>
              </w:rPr>
              <w:t xml:space="preserve">+ 2nd track</w:t>
            </w:r>
          </w:p>
        </w:tc>
      </w:tr>
      <w:tr>
        <w:tc>
          <w:tcPr>
            <w:tcW w:type="dxa" w:w="4550"/>
            <w:tcMar>
              <w:top w:type="dxa" w:w="80"/>
              <w:left w:type="dxa" w:w="100"/>
              <w:bottom w:type="dxa" w:w="80"/>
              <w:right w:type="dxa" w:w="100"/>
            </w:tcMar>
            <w:vAlign w:val="center"/>
          </w:tcPr>
          <w:p>
            <w:r>
              <w:rPr>
                <w:b w:val="false"/>
                <w:bCs w:val="false"/>
                <w:color w:val="000000"/>
                <w:sz w:val="19"/>
                <w:szCs w:val="19"/>
              </w:rPr>
              <w:t xml:space="preserve">September Pilot — 1 expense type live</w:t>
            </w:r>
          </w:p>
        </w:tc>
        <w:tc>
          <w:tcPr>
            <w:tcW w:type="dxa" w:w="2400"/>
            <w:tcMar>
              <w:top w:type="dxa" w:w="80"/>
              <w:left w:type="dxa" w:w="100"/>
              <w:bottom w:type="dxa" w:w="80"/>
              <w:right w:type="dxa" w:w="100"/>
            </w:tcMar>
            <w:vAlign w:val="center"/>
          </w:tcPr>
          <w:p>
            <w:r>
              <w:rPr>
                <w:b w:val="false"/>
                <w:bCs w:val="false"/>
                <w:color w:val="000000"/>
                <w:sz w:val="19"/>
                <w:szCs w:val="19"/>
              </w:rPr>
              <w:t xml:space="preserve">Sep 20, 2026</w:t>
            </w:r>
          </w:p>
        </w:tc>
        <w:tc>
          <w:tcPr>
            <w:tcW w:type="dxa" w:w="2400"/>
            <w:tcMar>
              <w:top w:type="dxa" w:w="80"/>
              <w:left w:type="dxa" w:w="100"/>
              <w:bottom w:type="dxa" w:w="80"/>
              <w:right w:type="dxa" w:w="100"/>
            </w:tcMar>
            <w:vAlign w:val="center"/>
          </w:tcPr>
          <w:p>
            <w:r>
              <w:rPr>
                <w:b w:val="false"/>
                <w:bCs w:val="false"/>
                <w:color w:val="000000"/>
                <w:sz w:val="19"/>
                <w:szCs w:val="19"/>
              </w:rPr>
              <w:t xml:space="preserve">Sep 6, 2026</w:t>
            </w:r>
          </w:p>
        </w:tc>
      </w:tr>
      <w:tr>
        <w:tc>
          <w:tcPr>
            <w:tcW w:type="dxa" w:w="4550"/>
            <w:shd w:fill="F2F2F2" w:val="clear"/>
            <w:tcMar>
              <w:top w:type="dxa" w:w="80"/>
              <w:left w:type="dxa" w:w="100"/>
              <w:bottom w:type="dxa" w:w="80"/>
              <w:right w:type="dxa" w:w="100"/>
            </w:tcMar>
            <w:vAlign w:val="center"/>
          </w:tcPr>
          <w:p>
            <w:r>
              <w:rPr>
                <w:b w:val="false"/>
                <w:bCs w:val="false"/>
                <w:color w:val="000000"/>
                <w:sz w:val="19"/>
                <w:szCs w:val="19"/>
              </w:rPr>
              <w:t xml:space="preserve">All 5 expense types live (today's approval process)</w:t>
            </w:r>
          </w:p>
        </w:tc>
        <w:tc>
          <w:tcPr>
            <w:tcW w:type="dxa" w:w="2400"/>
            <w:shd w:fill="F2F2F2" w:val="clear"/>
            <w:tcMar>
              <w:top w:type="dxa" w:w="80"/>
              <w:left w:type="dxa" w:w="100"/>
              <w:bottom w:type="dxa" w:w="80"/>
              <w:right w:type="dxa" w:w="100"/>
            </w:tcMar>
            <w:vAlign w:val="center"/>
          </w:tcPr>
          <w:p>
            <w:r>
              <w:rPr>
                <w:b w:val="false"/>
                <w:bCs w:val="false"/>
                <w:color w:val="000000"/>
                <w:sz w:val="19"/>
                <w:szCs w:val="19"/>
              </w:rPr>
              <w:t xml:space="preserve">Nov 15, 2026</w:t>
            </w:r>
          </w:p>
        </w:tc>
        <w:tc>
          <w:tcPr>
            <w:tcW w:type="dxa" w:w="2400"/>
            <w:shd w:fill="F2F2F2" w:val="clear"/>
            <w:tcMar>
              <w:top w:type="dxa" w:w="80"/>
              <w:left w:type="dxa" w:w="100"/>
              <w:bottom w:type="dxa" w:w="80"/>
              <w:right w:type="dxa" w:w="100"/>
            </w:tcMar>
            <w:vAlign w:val="center"/>
          </w:tcPr>
          <w:p>
            <w:r>
              <w:rPr>
                <w:b w:val="false"/>
                <w:bCs w:val="false"/>
                <w:color w:val="000000"/>
                <w:sz w:val="19"/>
                <w:szCs w:val="19"/>
              </w:rPr>
              <w:t xml:space="preserve">Oct 4, 2026</w:t>
            </w:r>
          </w:p>
        </w:tc>
      </w:tr>
      <w:tr>
        <w:tc>
          <w:tcPr>
            <w:tcW w:type="dxa" w:w="4550"/>
            <w:tcMar>
              <w:top w:type="dxa" w:w="80"/>
              <w:left w:type="dxa" w:w="100"/>
              <w:bottom w:type="dxa" w:w="80"/>
              <w:right w:type="dxa" w:w="100"/>
            </w:tcMar>
            <w:vAlign w:val="center"/>
          </w:tcPr>
          <w:p>
            <w:r>
              <w:rPr>
                <w:b w:val="false"/>
                <w:bCs w:val="false"/>
                <w:color w:val="000000"/>
                <w:sz w:val="19"/>
                <w:szCs w:val="19"/>
              </w:rPr>
              <w:t xml:space="preserve">Governed approvals live — today's process retired</w:t>
            </w:r>
          </w:p>
        </w:tc>
        <w:tc>
          <w:tcPr>
            <w:tcW w:type="dxa" w:w="2400"/>
            <w:tcMar>
              <w:top w:type="dxa" w:w="80"/>
              <w:left w:type="dxa" w:w="100"/>
              <w:bottom w:type="dxa" w:w="80"/>
              <w:right w:type="dxa" w:w="100"/>
            </w:tcMar>
            <w:vAlign w:val="center"/>
          </w:tcPr>
          <w:p>
            <w:r>
              <w:rPr>
                <w:b w:val="false"/>
                <w:bCs w:val="false"/>
                <w:color w:val="000000"/>
                <w:sz w:val="19"/>
                <w:szCs w:val="19"/>
              </w:rPr>
              <w:t xml:space="preserve">Feb 21, 2027</w:t>
            </w:r>
          </w:p>
        </w:tc>
        <w:tc>
          <w:tcPr>
            <w:tcW w:type="dxa" w:w="2400"/>
            <w:tcMar>
              <w:top w:type="dxa" w:w="80"/>
              <w:left w:type="dxa" w:w="100"/>
              <w:bottom w:type="dxa" w:w="80"/>
              <w:right w:type="dxa" w:w="100"/>
            </w:tcMar>
            <w:vAlign w:val="center"/>
          </w:tcPr>
          <w:p>
            <w:r>
              <w:rPr>
                <w:b w:val="false"/>
                <w:bCs w:val="false"/>
                <w:color w:val="000000"/>
                <w:sz w:val="19"/>
                <w:szCs w:val="19"/>
              </w:rPr>
              <w:t xml:space="preserve">Dec 13, 2026</w:t>
            </w:r>
          </w:p>
        </w:tc>
      </w:tr>
      <w:tr>
        <w:tc>
          <w:tcPr>
            <w:tcW w:type="dxa" w:w="4550"/>
            <w:shd w:fill="F2F2F2" w:val="clear"/>
            <w:tcMar>
              <w:top w:type="dxa" w:w="80"/>
              <w:left w:type="dxa" w:w="100"/>
              <w:bottom w:type="dxa" w:w="80"/>
              <w:right w:type="dxa" w:w="100"/>
            </w:tcMar>
            <w:vAlign w:val="center"/>
          </w:tcPr>
          <w:p>
            <w:r>
              <w:rPr>
                <w:b w:val="false"/>
                <w:bCs w:val="false"/>
                <w:color w:val="000000"/>
                <w:sz w:val="19"/>
                <w:szCs w:val="19"/>
              </w:rPr>
              <w:t xml:space="preserve">Full program — + integrations + reporting</w:t>
            </w:r>
          </w:p>
        </w:tc>
        <w:tc>
          <w:tcPr>
            <w:tcW w:type="dxa" w:w="2400"/>
            <w:shd w:fill="F2F2F2" w:val="clear"/>
            <w:tcMar>
              <w:top w:type="dxa" w:w="80"/>
              <w:left w:type="dxa" w:w="100"/>
              <w:bottom w:type="dxa" w:w="80"/>
              <w:right w:type="dxa" w:w="100"/>
            </w:tcMar>
            <w:vAlign w:val="center"/>
          </w:tcPr>
          <w:p>
            <w:r>
              <w:rPr>
                <w:b w:val="false"/>
                <w:bCs w:val="false"/>
                <w:color w:val="000000"/>
                <w:sz w:val="19"/>
                <w:szCs w:val="19"/>
              </w:rPr>
              <w:t xml:space="preserve">Apr 18, 2027</w:t>
            </w:r>
          </w:p>
        </w:tc>
        <w:tc>
          <w:tcPr>
            <w:tcW w:type="dxa" w:w="2400"/>
            <w:shd w:fill="F2F2F2" w:val="clear"/>
            <w:tcMar>
              <w:top w:type="dxa" w:w="80"/>
              <w:left w:type="dxa" w:w="100"/>
              <w:bottom w:type="dxa" w:w="80"/>
              <w:right w:type="dxa" w:w="100"/>
            </w:tcMar>
            <w:vAlign w:val="center"/>
          </w:tcPr>
          <w:p>
            <w:r>
              <w:rPr>
                <w:b w:val="false"/>
                <w:bCs w:val="false"/>
                <w:color w:val="000000"/>
                <w:sz w:val="19"/>
                <w:szCs w:val="19"/>
              </w:rPr>
              <w:t xml:space="preserve">Jan 10, 2027</w:t>
            </w:r>
          </w:p>
        </w:tc>
      </w:tr>
    </w:tbl>
    <w:p>
      <w:pPr>
        <w:pStyle w:val="Heading2"/>
        <w:spacing w:after="180" w:before="360"/>
      </w:pPr>
      <w:r>
        <w:rPr>
          <w:b/>
          <w:bCs/>
          <w:color w:val="2E5C8A"/>
          <w:sz w:val="26"/>
          <w:szCs w:val="26"/>
        </w:rPr>
        <w:t xml:space="preserve">Why This Matters Beyond This Project</w:t>
      </w:r>
    </w:p>
    <w:p>
      <w:pPr>
        <w:spacing w:after="160" w:line="276"/>
      </w:pPr>
      <w:r>
        <w:rPr>
          <w:b w:val="false"/>
          <w:bCs w:val="false"/>
          <w:i w:val="false"/>
          <w:iCs w:val="false"/>
          <w:color w:val="000000"/>
          <w:sz w:val="21"/>
          <w:szCs w:val="21"/>
        </w:rPr>
        <w:t xml:space="preserve">This program is on the critical path for other planned UI integrations and for the Gen AI model completion. That raises the cost of getting the date wrong in either direction: forcing an unrealistic September full-launch risks rework and compliance exposure that delays those dependent efforts even further, while the achievable pilot path above keeps them moving on the earliest honest date.</w:t>
      </w:r>
    </w:p>
    <w:p>
      <w:pPr>
        <w:pStyle w:val="Heading2"/>
        <w:spacing w:after="180" w:before="360"/>
      </w:pPr>
      <w:r>
        <w:rPr>
          <w:b/>
          <w:bCs/>
          <w:color w:val="2E5C8A"/>
          <w:sz w:val="26"/>
          <w:szCs w:val="26"/>
        </w:rPr>
        <w:t xml:space="preserve">Top Risks</w:t>
      </w:r>
    </w:p>
    <w:p>
      <w:pPr>
        <w:pStyle w:val="ListParagraph"/>
        <w:numPr>
          <w:ilvl w:val="0"/>
          <w:numId w:val="2"/>
        </w:numPr>
        <w:spacing w:after="90" w:line="264"/>
      </w:pPr>
      <w:r>
        <w:rPr>
          <w:sz w:val="21"/>
          <w:szCs w:val="21"/>
        </w:rPr>
        <w:t xml:space="preserve">3 business inputs still outstanding (expense-policy document, data-lake schema, GTS-detection decision) gate the 2027 rows — not an engineering constraint.</w:t>
      </w:r>
    </w:p>
    <w:p>
      <w:pPr>
        <w:pStyle w:val="ListParagraph"/>
        <w:numPr>
          <w:ilvl w:val="0"/>
          <w:numId w:val="2"/>
        </w:numPr>
        <w:spacing w:after="90" w:line="264"/>
      </w:pPr>
      <w:r>
        <w:rPr>
          <w:sz w:val="21"/>
          <w:szCs w:val="21"/>
        </w:rPr>
        <w:t xml:space="preserve">“+2nd track” dates require staffing a second team now, not deciding to later.</w:t>
      </w:r>
    </w:p>
    <w:p>
      <w:pPr>
        <w:pStyle w:val="ListParagraph"/>
        <w:numPr>
          <w:ilvl w:val="0"/>
          <w:numId w:val="2"/>
        </w:numPr>
        <w:spacing w:after="90" w:line="264"/>
      </w:pPr>
      <w:r>
        <w:rPr>
          <w:sz w:val="21"/>
          <w:szCs w:val="21"/>
        </w:rPr>
        <w:t xml:space="preserve">6 external-team dependencies (Onboarding, Invoicing, GD Hub, etc.) aren't yet scheduled on their side.</w:t>
      </w:r>
    </w:p>
    <w:p>
      <w:pPr>
        <w:pStyle w:val="ListParagraph"/>
        <w:numPr>
          <w:ilvl w:val="0"/>
          <w:numId w:val="2"/>
        </w:numPr>
        <w:spacing w:after="90" w:line="264"/>
      </w:pPr>
      <w:r>
        <w:rPr>
          <w:sz w:val="21"/>
          <w:szCs w:val="21"/>
        </w:rPr>
        <w:t xml:space="preserve">Dependent initiatives inherit any slip here — sequencing risk, not just this program's own risk.</w:t>
      </w:r>
    </w:p>
    <w:p>
      <w:pPr>
        <w:pStyle w:val="Heading2"/>
        <w:spacing w:after="180" w:before="360"/>
      </w:pPr>
      <w:r>
        <w:rPr>
          <w:b/>
          <w:bCs/>
          <w:color w:val="2E5C8A"/>
          <w:sz w:val="26"/>
          <w:szCs w:val="26"/>
        </w:rPr>
        <w:t xml:space="preserve">Recommendation</w:t>
      </w:r>
    </w:p>
    <w:p>
      <w:pPr>
        <w:pStyle w:val="ListParagraph"/>
        <w:numPr>
          <w:ilvl w:val="0"/>
          <w:numId w:val="2"/>
        </w:numPr>
        <w:spacing w:after="90" w:line="264"/>
      </w:pPr>
      <w:r>
        <w:rPr>
          <w:sz w:val="21"/>
          <w:szCs w:val="21"/>
        </w:rPr>
        <w:t xml:space="preserve">Commit publicly to the September Pilot, not a full-system date.</w:t>
      </w:r>
    </w:p>
    <w:p>
      <w:pPr>
        <w:pStyle w:val="ListParagraph"/>
        <w:numPr>
          <w:ilvl w:val="0"/>
          <w:numId w:val="2"/>
        </w:numPr>
        <w:spacing w:after="90" w:line="264"/>
      </w:pPr>
      <w:r>
        <w:rPr>
          <w:sz w:val="21"/>
          <w:szCs w:val="21"/>
        </w:rPr>
        <w:t xml:space="preserve">Unblock the 3 outstanding business inputs this month — highest-leverage action available to leadership.</w:t>
      </w:r>
    </w:p>
    <w:p>
      <w:pPr>
        <w:pStyle w:val="ListParagraph"/>
        <w:numPr>
          <w:ilvl w:val="0"/>
          <w:numId w:val="2"/>
        </w:numPr>
        <w:spacing w:after="90" w:line="264"/>
      </w:pPr>
      <w:r>
        <w:rPr>
          <w:sz w:val="21"/>
          <w:szCs w:val="21"/>
        </w:rPr>
        <w:t xml:space="preserve">Decide now on staffing a second track if Dec 2026 (vs. Feb 2027) matters to dependent initiatives.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2026-07-15T01:22:18.489Z</dcterms:created>
  <dcterms:modified xsi:type="dcterms:W3CDTF">2026-07-15T01:22:18.489Z</dcterms:modified>
</cp:coreProperties>
</file>

<file path=docProps/custom.xml><?xml version="1.0" encoding="utf-8"?>
<Properties xmlns="http://schemas.openxmlformats.org/officeDocument/2006/custom-properties" xmlns:vt="http://schemas.openxmlformats.org/officeDocument/2006/docPropsVTypes"/>
</file>