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1C4D2E"/>
          <w:sz w:val="44"/>
          <w:szCs w:val="44"/>
        </w:rPr>
        <w:t xml:space="preserve">USFF × EMS Integration</w:t>
      </w:r>
    </w:p>
    <w:p>
      <w:pPr>
        <w:pBdr>
          <w:bottom w:val="single" w:color="E7F3EA" w:sz="6" w:space="6"/>
        </w:pBdr>
        <w:spacing w:after="120"/>
      </w:pPr>
      <w:r>
        <w:rPr>
          <w:rFonts w:ascii="Calibri" w:cs="Calibri" w:eastAsia="Calibri" w:hAnsi="Calibri"/>
          <w:color w:val="1F6B3A"/>
          <w:sz w:val="26"/>
          <w:szCs w:val="26"/>
        </w:rPr>
        <w:t xml:space="preserve">Recommendation for a phased delivery</w:t>
      </w:r>
    </w:p>
    <w:p>
      <w:pPr>
        <w:shd w:fill="E7F3EA" w:val="clear"/>
        <w:spacing w:after="240" w:before="120" w:line="276"/>
        <w:ind w:left="140" w:right="140"/>
      </w:pPr>
      <w:r>
        <w:rPr>
          <w:rFonts w:ascii="Calibri" w:cs="Calibri" w:eastAsia="Calibri" w:hAnsi="Calibri"/>
          <w:b/>
          <w:bCs/>
          <w:color w:val="1C4D2E"/>
          <w:sz w:val="22"/>
          <w:szCs w:val="22"/>
        </w:rPr>
        <w:t xml:space="preserve">Recommendation: </w:t>
      </w:r>
      <w:r>
        <w:rPr>
          <w:rFonts w:ascii="Calibri" w:cs="Calibri" w:eastAsia="Calibri" w:hAnsi="Calibri"/>
          <w:color w:val="1C1F1D"/>
          <w:sz w:val="22"/>
          <w:szCs w:val="22"/>
        </w:rPr>
        <w:t xml:space="preserve">commit September to the Vendor Expense flow end to end (EMS triage, Pipeline, USFF and Ariba intake, and the SPID Vendor Expense form) and phase the remaining flows behind documented requirements. Integrating all five EMS flows by September is not feasible, and the team is aligned on this assessment.</w:t>
      </w:r>
    </w:p>
    <w:p>
      <w:pPr>
        <w:pStyle w:val="Heading1"/>
        <w:spacing w:after="160" w:before="320"/>
      </w:pPr>
      <w:r>
        <w:rPr>
          <w:rFonts w:ascii="Cambria" w:cs="Cambria" w:eastAsia="Cambria" w:hAnsi="Cambria"/>
          <w:b/>
          <w:bCs/>
          <w:color w:val="1C4D2E"/>
          <w:sz w:val="28"/>
          <w:szCs w:val="28"/>
        </w:rPr>
        <w:t xml:space="preserve">What we will deliver by September (Phase 1)</w:t>
      </w:r>
    </w:p>
    <w:p>
      <w:pPr>
        <w:spacing w:after="160" w:line="276"/>
      </w:pPr>
      <w:r>
        <w:rPr>
          <w:rFonts w:ascii="Calibri" w:cs="Calibri" w:eastAsia="Calibri" w:hAnsi="Calibri"/>
          <w:color w:val="1C1F1D"/>
          <w:sz w:val="22"/>
          <w:szCs w:val="22"/>
        </w:rPr>
        <w:t xml:space="preserve">This scope is already prototyped and demonstrated. It covers:</w:t>
      </w:r>
    </w:p>
    <w:p>
      <w:pPr>
        <w:pStyle w:val="ListParagraph"/>
        <w:numPr>
          <w:ilvl w:val="0"/>
          <w:numId w:val="2"/>
        </w:numPr>
        <w:spacing w:after="120" w:line="276"/>
      </w:pPr>
      <w:r>
        <w:rPr>
          <w:rFonts w:ascii="Calibri" w:cs="Calibri" w:eastAsia="Calibri" w:hAnsi="Calibri"/>
          <w:color w:val="1C1F1D"/>
          <w:sz w:val="22"/>
          <w:szCs w:val="22"/>
        </w:rPr>
        <w:t xml:space="preserve">EMS triage embedded in USFF, giving GTS one front door. Users outside GTS keep the current flow with no changes.</w:t>
      </w:r>
    </w:p>
    <w:p>
      <w:pPr>
        <w:pStyle w:val="ListParagraph"/>
        <w:numPr>
          <w:ilvl w:val="0"/>
          <w:numId w:val="2"/>
        </w:numPr>
        <w:spacing w:after="120" w:line="276"/>
      </w:pPr>
      <w:r>
        <w:rPr>
          <w:rFonts w:ascii="Calibri" w:cs="Calibri" w:eastAsia="Calibri" w:hAnsi="Calibri"/>
          <w:color w:val="1C1F1D"/>
          <w:sz w:val="22"/>
          <w:szCs w:val="22"/>
        </w:rPr>
        <w:t xml:space="preserve">The Pipeline intake with the full BOM agenda approval cycle: routing driven by the financial approval matrix, an Agenda Builder for BOM Leads, and the date of every approval stamped on the record for audit.</w:t>
      </w:r>
    </w:p>
    <w:p>
      <w:pPr>
        <w:pStyle w:val="ListParagraph"/>
        <w:numPr>
          <w:ilvl w:val="0"/>
          <w:numId w:val="2"/>
        </w:numPr>
        <w:spacing w:after="120" w:line="276"/>
      </w:pPr>
      <w:r>
        <w:rPr>
          <w:rFonts w:ascii="Calibri" w:cs="Calibri" w:eastAsia="Calibri" w:hAnsi="Calibri"/>
          <w:color w:val="1C1F1D"/>
          <w:sz w:val="22"/>
          <w:szCs w:val="22"/>
        </w:rPr>
        <w:t xml:space="preserve">A direct hand-off into the existing USFF intake. An approved pipeline continues with one click, pre-populated, and the Ariba intake and funding approval fire exactly as they do today.</w:t>
      </w:r>
    </w:p>
    <w:p>
      <w:pPr>
        <w:pStyle w:val="ListParagraph"/>
        <w:numPr>
          <w:ilvl w:val="0"/>
          <w:numId w:val="2"/>
        </w:numPr>
        <w:spacing w:after="120" w:line="276"/>
      </w:pPr>
      <w:r>
        <w:rPr>
          <w:rFonts w:ascii="Calibri" w:cs="Calibri" w:eastAsia="Calibri" w:hAnsi="Calibri"/>
          <w:color w:val="1C1F1D"/>
          <w:sz w:val="22"/>
          <w:szCs w:val="22"/>
        </w:rPr>
        <w:t xml:space="preserve">The SPID Vendor Expense form. It validates the Pipeline and the Ariba record, asks only the net-new questions, and flags anything that changed since pipeline approval.</w:t>
      </w:r>
    </w:p>
    <w:p>
      <w:pPr>
        <w:pStyle w:val="ListParagraph"/>
        <w:numPr>
          <w:ilvl w:val="0"/>
          <w:numId w:val="2"/>
        </w:numPr>
        <w:spacing w:after="120" w:line="276"/>
      </w:pPr>
      <w:r>
        <w:rPr>
          <w:rFonts w:ascii="Calibri" w:cs="Calibri" w:eastAsia="Calibri" w:hAnsi="Calibri"/>
          <w:color w:val="1C1F1D"/>
          <w:sz w:val="22"/>
          <w:szCs w:val="22"/>
        </w:rPr>
        <w:t xml:space="preserve">The other four expense tiles (Approval to Hire, Project Request, Other Approvals, Invoice Submission) redirect to the current Signing Party PowerApp, so those users see no disruption while their phases are built properly.</w:t>
      </w:r>
    </w:p>
    <w:p>
      <w:pPr>
        <w:pStyle w:val="Heading1"/>
        <w:spacing w:after="160" w:before="320"/>
      </w:pPr>
      <w:r>
        <w:rPr>
          <w:rFonts w:ascii="Cambria" w:cs="Cambria" w:eastAsia="Cambria" w:hAnsi="Cambria"/>
          <w:b/>
          <w:bCs/>
          <w:color w:val="1C4D2E"/>
          <w:sz w:val="28"/>
          <w:szCs w:val="28"/>
        </w:rPr>
        <w:t xml:space="preserve">Why full integration by September is not feasible</w:t>
      </w:r>
    </w:p>
    <w:p>
      <w:pPr>
        <w:pStyle w:val="ListParagraph"/>
        <w:numPr>
          <w:ilvl w:val="0"/>
          <w:numId w:val="3"/>
        </w:numPr>
        <w:spacing w:after="140" w:line="276"/>
      </w:pPr>
      <w:r>
        <w:rPr>
          <w:rFonts w:ascii="Calibri" w:cs="Calibri" w:eastAsia="Calibri" w:hAnsi="Calibri"/>
          <w:b/>
          <w:bCs/>
          <w:color w:val="1C1F1D"/>
          <w:sz w:val="22"/>
          <w:szCs w:val="22"/>
        </w:rPr>
        <w:t xml:space="preserve">There are no requirements. </w:t>
      </w:r>
      <w:r>
        <w:rPr>
          <w:rFonts w:ascii="Calibri" w:cs="Calibri" w:eastAsia="Calibri" w:hAnsi="Calibri"/>
          <w:color w:val="1C1F1D"/>
          <w:sz w:val="22"/>
          <w:szCs w:val="22"/>
        </w:rPr>
        <w:t xml:space="preserve">We are reverse engineering the EMS and SPID applications by working through the live PowerApps and screenshots. Discovery is still changing our understanding; the most recent business call materially corrected the flow model we had built to.</w:t>
      </w:r>
    </w:p>
    <w:p>
      <w:pPr>
        <w:pStyle w:val="ListParagraph"/>
        <w:numPr>
          <w:ilvl w:val="0"/>
          <w:numId w:val="3"/>
        </w:numPr>
        <w:spacing w:after="140" w:line="276"/>
      </w:pPr>
      <w:r>
        <w:rPr>
          <w:rFonts w:ascii="Calibri" w:cs="Calibri" w:eastAsia="Calibri" w:hAnsi="Calibri"/>
          <w:b/>
          <w:bCs/>
          <w:color w:val="1C1F1D"/>
          <w:sz w:val="22"/>
          <w:szCs w:val="22"/>
        </w:rPr>
        <w:t xml:space="preserve">The triage and the Pipeline are not the problem. The Signing Party (SPID) flows are. </w:t>
      </w:r>
      <w:r>
        <w:rPr>
          <w:rFonts w:ascii="Calibri" w:cs="Calibri" w:eastAsia="Calibri" w:hAnsi="Calibri"/>
          <w:color w:val="1C1F1D"/>
          <w:sz w:val="22"/>
          <w:szCs w:val="22"/>
        </w:rPr>
        <w:t xml:space="preserve">Each remaining expense type has its own SPID intake with distinct conditional logic and different data pulled into it. We have extracted more than 165 business rules from their forms so far, the list is still growing, and none of the rules have been validated by the business.</w:t>
      </w:r>
    </w:p>
    <w:p>
      <w:pPr>
        <w:pStyle w:val="ListParagraph"/>
        <w:numPr>
          <w:ilvl w:val="0"/>
          <w:numId w:val="3"/>
        </w:numPr>
        <w:spacing w:after="140" w:line="276"/>
      </w:pPr>
      <w:r>
        <w:rPr>
          <w:rFonts w:ascii="Calibri" w:cs="Calibri" w:eastAsia="Calibri" w:hAnsi="Calibri"/>
          <w:b/>
          <w:bCs/>
          <w:color w:val="1C1F1D"/>
          <w:sz w:val="22"/>
          <w:szCs w:val="22"/>
        </w:rPr>
        <w:t xml:space="preserve">Every SPID flow depends on external data we do not have. </w:t>
      </w:r>
      <w:r>
        <w:rPr>
          <w:rFonts w:ascii="Calibri" w:cs="Calibri" w:eastAsia="Calibri" w:hAnsi="Calibri"/>
          <w:color w:val="1C1F1D"/>
          <w:sz w:val="22"/>
          <w:szCs w:val="22"/>
        </w:rPr>
        <w:t xml:space="preserve">Eleven data sources and artifacts are still owed to us, including the full expense policy, the skills master list, the rate table repository, the valid pipeline list, the vendor SOW and SR repository, the Management Consulting template, and the shared data lake schema.</w:t>
      </w:r>
    </w:p>
    <w:p>
      <w:pPr>
        <w:pStyle w:val="ListParagraph"/>
        <w:numPr>
          <w:ilvl w:val="0"/>
          <w:numId w:val="3"/>
        </w:numPr>
        <w:spacing w:after="140" w:line="276"/>
      </w:pPr>
      <w:r>
        <w:rPr>
          <w:rFonts w:ascii="Calibri" w:cs="Calibri" w:eastAsia="Calibri" w:hAnsi="Calibri"/>
          <w:b/>
          <w:bCs/>
          <w:color w:val="1C1F1D"/>
          <w:sz w:val="22"/>
          <w:szCs w:val="22"/>
        </w:rPr>
        <w:t xml:space="preserve">The non-vendor flows are coupled to downstream systems that have no specifications: </w:t>
      </w:r>
      <w:r>
        <w:rPr>
          <w:rFonts w:ascii="Calibri" w:cs="Calibri" w:eastAsia="Calibri" w:hAnsi="Calibri"/>
          <w:color w:val="1C1F1D"/>
          <w:sz w:val="22"/>
          <w:szCs w:val="22"/>
        </w:rPr>
        <w:t xml:space="preserve">the onboarding portal and its shared data lake, the GD Hub automated feed (a mechanism the business itself could not describe), the invoicing portal with a manual mailbox hand-off, and a Pre-Intake bot owned by a different team that is itself unfinished.</w:t>
      </w:r>
    </w:p>
    <w:p>
      <w:pPr>
        <w:pStyle w:val="ListParagraph"/>
        <w:numPr>
          <w:ilvl w:val="0"/>
          <w:numId w:val="3"/>
        </w:numPr>
        <w:spacing w:after="140" w:line="276"/>
      </w:pPr>
      <w:r>
        <w:rPr>
          <w:rFonts w:ascii="Calibri" w:cs="Calibri" w:eastAsia="Calibri" w:hAnsi="Calibri"/>
          <w:b/>
          <w:bCs/>
          <w:color w:val="1C1F1D"/>
          <w:sz w:val="22"/>
          <w:szCs w:val="22"/>
        </w:rPr>
        <w:t xml:space="preserve">Approval to Hire alone is a project in its own right: </w:t>
      </w:r>
      <w:r>
        <w:rPr>
          <w:rFonts w:ascii="Calibri" w:cs="Calibri" w:eastAsia="Calibri" w:hAnsi="Calibri"/>
          <w:color w:val="1C1F1D"/>
          <w:sz w:val="22"/>
          <w:szCs w:val="22"/>
        </w:rPr>
        <w:t xml:space="preserve">five-way front door branching, tenure extension gating, bulk resource logic with rate lookups, conditional AMCB sections, and vendor reuse rules.</w:t>
      </w:r>
    </w:p>
    <w:p>
      <w:pPr>
        <w:pStyle w:val="ListParagraph"/>
        <w:numPr>
          <w:ilvl w:val="0"/>
          <w:numId w:val="3"/>
        </w:numPr>
        <w:spacing w:after="140" w:line="276"/>
      </w:pPr>
      <w:r>
        <w:rPr>
          <w:rFonts w:ascii="Calibri" w:cs="Calibri" w:eastAsia="Calibri" w:hAnsi="Calibri"/>
          <w:b/>
          <w:bCs/>
          <w:color w:val="1C1F1D"/>
          <w:sz w:val="22"/>
          <w:szCs w:val="22"/>
        </w:rPr>
        <w:t xml:space="preserve">These are financial approval controls. </w:t>
      </w:r>
      <w:r>
        <w:rPr>
          <w:rFonts w:ascii="Calibri" w:cs="Calibri" w:eastAsia="Calibri" w:hAnsi="Calibri"/>
          <w:color w:val="1C1F1D"/>
          <w:sz w:val="22"/>
          <w:szCs w:val="22"/>
        </w:rPr>
        <w:t xml:space="preserve">Shipping unvalidated approval logic risks broken audit evidence and misrouted spend approvals, a worse outcome than a later, correct delivery.</w:t>
      </w:r>
    </w:p>
    <w:p>
      <w:pPr>
        <w:pStyle w:val="Heading1"/>
        <w:spacing w:after="160" w:before="320"/>
      </w:pPr>
      <w:r>
        <w:rPr>
          <w:rFonts w:ascii="Cambria" w:cs="Cambria" w:eastAsia="Cambria" w:hAnsi="Cambria"/>
          <w:b/>
          <w:bCs/>
          <w:color w:val="1C4D2E"/>
          <w:sz w:val="28"/>
          <w:szCs w:val="28"/>
        </w:rPr>
        <w:t xml:space="preserve">Phased timeline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620"/>
      </w:tblGrid>
      <w:tr>
        <w:trPr>
          <w:tblHeader/>
        </w:trPr>
        <w:tc>
          <w:tcPr>
            <w:tcW w:type="dxa" w:w="1500"/>
            <w:shd w:fill="1C4D2E" w:val="clear"/>
            <w:tcMar>
              <w:top w:type="dxa" w:w="100"/>
              <w:left w:type="dxa" w:w="140"/>
              <w:bottom w:type="dxa" w:w="100"/>
              <w:right w:type="dxa" w:w="140"/>
            </w:tcMar>
          </w:tcPr>
          <w:p>
            <w:pPr>
              <w:spacing w:after="40" w:line="260"/>
            </w:pPr>
            <w:r>
              <w:rPr>
                <w:rFonts w:ascii="Calibri" w:cs="Calibri" w:eastAsia="Calibri" w:hAnsi="Calibri"/>
                <w:b/>
                <w:bCs/>
                <w:color w:val="FFFFFF"/>
                <w:sz w:val="20"/>
                <w:szCs w:val="20"/>
              </w:rPr>
              <w:t xml:space="preserve">Phase</w:t>
            </w:r>
          </w:p>
        </w:tc>
        <w:tc>
          <w:tcPr>
            <w:tcW w:type="dxa" w:w="4600"/>
            <w:shd w:fill="1C4D2E" w:val="clear"/>
            <w:tcMar>
              <w:top w:type="dxa" w:w="100"/>
              <w:left w:type="dxa" w:w="140"/>
              <w:bottom w:type="dxa" w:w="100"/>
              <w:right w:type="dxa" w:w="140"/>
            </w:tcMar>
          </w:tcPr>
          <w:p>
            <w:pPr>
              <w:spacing w:after="40" w:line="260"/>
            </w:pPr>
            <w:r>
              <w:rPr>
                <w:rFonts w:ascii="Calibri" w:cs="Calibri" w:eastAsia="Calibri" w:hAnsi="Calibri"/>
                <w:b/>
                <w:bCs/>
                <w:color w:val="FFFFFF"/>
                <w:sz w:val="20"/>
                <w:szCs w:val="20"/>
              </w:rPr>
              <w:t xml:space="preserve">Scope</w:t>
            </w:r>
          </w:p>
        </w:tc>
        <w:tc>
          <w:tcPr>
            <w:tcW w:type="dxa" w:w="3620"/>
            <w:shd w:fill="1C4D2E" w:val="clear"/>
            <w:tcMar>
              <w:top w:type="dxa" w:w="100"/>
              <w:left w:type="dxa" w:w="140"/>
              <w:bottom w:type="dxa" w:w="100"/>
              <w:right w:type="dxa" w:w="140"/>
            </w:tcMar>
          </w:tcPr>
          <w:p>
            <w:pPr>
              <w:spacing w:after="40" w:line="260"/>
            </w:pPr>
            <w:r>
              <w:rPr>
                <w:rFonts w:ascii="Calibri" w:cs="Calibri" w:eastAsia="Calibri" w:hAnsi="Calibri"/>
                <w:b/>
                <w:bCs/>
                <w:color w:val="FFFFFF"/>
                <w:sz w:val="20"/>
                <w:szCs w:val="20"/>
              </w:rPr>
              <w:t xml:space="preserve">Entry criteria</w:t>
            </w:r>
          </w:p>
        </w:tc>
      </w:tr>
      <w:tr>
        <w:tc>
          <w:tcPr>
            <w:tcW w:type="dxa" w:w="1500"/>
            <w:shd w:fill="E7F3EA" w:val="clear"/>
            <w:tcMar>
              <w:top w:type="dxa" w:w="100"/>
              <w:left w:type="dxa" w:w="140"/>
              <w:bottom w:type="dxa" w:w="100"/>
              <w:right w:type="dxa" w:w="140"/>
            </w:tcMar>
          </w:tcPr>
          <w:p>
            <w:pPr>
              <w:spacing w:after="40" w:line="260"/>
            </w:pPr>
            <w:r>
              <w:rPr>
                <w:rFonts w:ascii="Calibri" w:cs="Calibri" w:eastAsia="Calibri" w:hAnsi="Calibri"/>
                <w:b/>
                <w:bCs/>
                <w:color w:val="1C1F1D"/>
                <w:sz w:val="20"/>
                <w:szCs w:val="20"/>
              </w:rPr>
              <w:t xml:space="preserve">Phase 1 (September)</w:t>
            </w:r>
          </w:p>
        </w:tc>
        <w:tc>
          <w:tcPr>
            <w:tcW w:type="dxa" w:w="4600"/>
            <w:shd w:fill="E7F3EA" w:val="clear"/>
            <w:tcMar>
              <w:top w:type="dxa" w:w="100"/>
              <w:left w:type="dxa" w:w="140"/>
              <w:bottom w:type="dxa" w:w="100"/>
              <w:right w:type="dxa" w:w="140"/>
            </w:tcMar>
          </w:tcPr>
          <w:p>
            <w:pPr>
              <w:spacing w:after="40" w:line="260"/>
            </w:pPr>
            <w:r>
              <w:rPr>
                <w:rFonts w:ascii="Calibri" w:cs="Calibri" w:eastAsia="Calibri" w:hAnsi="Calibri"/>
                <w:b w:val="false"/>
                <w:bCs w:val="false"/>
                <w:color w:val="1C1F1D"/>
                <w:sz w:val="20"/>
                <w:szCs w:val="20"/>
              </w:rPr>
              <w:t xml:space="preserve">Vendor Expense end to end: EMS triage, Pipeline with BOM agendas, USFF and Ariba intake, SPID Vendor Expense. Redirect model for everything else.</w:t>
            </w:r>
          </w:p>
        </w:tc>
        <w:tc>
          <w:tcPr>
            <w:tcW w:type="dxa" w:w="3620"/>
            <w:shd w:fill="E7F3EA" w:val="clear"/>
            <w:tcMar>
              <w:top w:type="dxa" w:w="100"/>
              <w:left w:type="dxa" w:w="140"/>
              <w:bottom w:type="dxa" w:w="100"/>
              <w:right w:type="dxa" w:w="140"/>
            </w:tcMar>
          </w:tcPr>
          <w:p>
            <w:pPr>
              <w:spacing w:after="40" w:line="260"/>
            </w:pPr>
            <w:r>
              <w:rPr>
                <w:rFonts w:ascii="Calibri" w:cs="Calibri" w:eastAsia="Calibri" w:hAnsi="Calibri"/>
                <w:b w:val="false"/>
                <w:bCs w:val="false"/>
                <w:color w:val="1C1F1D"/>
                <w:sz w:val="20"/>
                <w:szCs w:val="20"/>
              </w:rPr>
              <w:t xml:space="preserve">Complete. Prototype built; business review in progress.</w:t>
            </w:r>
          </w:p>
        </w:tc>
      </w:tr>
      <w:tr>
        <w:tc>
          <w:tcPr>
            <w:tcW w:type="dxa" w:w="1500"/>
            <w:shd w:fill="F3F5F0" w:val="clear"/>
            <w:tcMar>
              <w:top w:type="dxa" w:w="100"/>
              <w:left w:type="dxa" w:w="140"/>
              <w:bottom w:type="dxa" w:w="100"/>
              <w:right w:type="dxa" w:w="140"/>
            </w:tcMar>
          </w:tcPr>
          <w:p>
            <w:pPr>
              <w:spacing w:after="40" w:line="260"/>
            </w:pPr>
            <w:r>
              <w:rPr>
                <w:rFonts w:ascii="Calibri" w:cs="Calibri" w:eastAsia="Calibri" w:hAnsi="Calibri"/>
                <w:b/>
                <w:bCs/>
                <w:color w:val="1C1F1D"/>
                <w:sz w:val="20"/>
                <w:szCs w:val="20"/>
              </w:rPr>
              <w:t xml:space="preserve">Phase 2</w:t>
            </w:r>
          </w:p>
        </w:tc>
        <w:tc>
          <w:tcPr>
            <w:tcW w:type="dxa" w:w="4600"/>
            <w:shd w:fill="F3F5F0" w:val="clear"/>
            <w:tcMar>
              <w:top w:type="dxa" w:w="100"/>
              <w:left w:type="dxa" w:w="140"/>
              <w:bottom w:type="dxa" w:w="100"/>
              <w:right w:type="dxa" w:w="140"/>
            </w:tcMar>
          </w:tcPr>
          <w:p>
            <w:pPr>
              <w:spacing w:after="40" w:line="260"/>
            </w:pPr>
            <w:r>
              <w:rPr>
                <w:rFonts w:ascii="Calibri" w:cs="Calibri" w:eastAsia="Calibri" w:hAnsi="Calibri"/>
                <w:b w:val="false"/>
                <w:bCs w:val="false"/>
                <w:color w:val="1C1F1D"/>
                <w:sz w:val="20"/>
                <w:szCs w:val="20"/>
              </w:rPr>
              <w:t xml:space="preserve">Approval to Hire, including bulk resources, reuse rules, and the ATH SPID.</w:t>
            </w:r>
          </w:p>
        </w:tc>
        <w:tc>
          <w:tcPr>
            <w:tcW w:type="dxa" w:w="3620"/>
            <w:shd w:fill="F3F5F0" w:val="clear"/>
            <w:tcMar>
              <w:top w:type="dxa" w:w="100"/>
              <w:left w:type="dxa" w:w="140"/>
              <w:bottom w:type="dxa" w:w="100"/>
              <w:right w:type="dxa" w:w="140"/>
            </w:tcMar>
          </w:tcPr>
          <w:p>
            <w:pPr>
              <w:spacing w:after="40" w:line="260"/>
            </w:pPr>
            <w:r>
              <w:rPr>
                <w:rFonts w:ascii="Calibri" w:cs="Calibri" w:eastAsia="Calibri" w:hAnsi="Calibri"/>
                <w:b w:val="false"/>
                <w:bCs w:val="false"/>
                <w:color w:val="1C1F1D"/>
                <w:sz w:val="20"/>
                <w:szCs w:val="20"/>
              </w:rPr>
              <w:t xml:space="preserve">Skills master and rate tables delivered; ATH requirements documented and signed off.</w:t>
            </w:r>
          </w:p>
        </w:tc>
      </w:tr>
      <w:tr>
        <w:tc>
          <w:tcPr>
            <w:tcW w:type="dxa" w:w="1500"/>
            <w:shd w:fill="F3F5F0" w:val="clear"/>
            <w:tcMar>
              <w:top w:type="dxa" w:w="100"/>
              <w:left w:type="dxa" w:w="140"/>
              <w:bottom w:type="dxa" w:w="100"/>
              <w:right w:type="dxa" w:w="140"/>
            </w:tcMar>
          </w:tcPr>
          <w:p>
            <w:pPr>
              <w:spacing w:after="40" w:line="260"/>
            </w:pPr>
            <w:r>
              <w:rPr>
                <w:rFonts w:ascii="Calibri" w:cs="Calibri" w:eastAsia="Calibri" w:hAnsi="Calibri"/>
                <w:b/>
                <w:bCs/>
                <w:color w:val="1C1F1D"/>
                <w:sz w:val="20"/>
                <w:szCs w:val="20"/>
              </w:rPr>
              <w:t xml:space="preserve">Phase 3</w:t>
            </w:r>
          </w:p>
        </w:tc>
        <w:tc>
          <w:tcPr>
            <w:tcW w:type="dxa" w:w="4600"/>
            <w:shd w:fill="F3F5F0" w:val="clear"/>
            <w:tcMar>
              <w:top w:type="dxa" w:w="100"/>
              <w:left w:type="dxa" w:w="140"/>
              <w:bottom w:type="dxa" w:w="100"/>
              <w:right w:type="dxa" w:w="140"/>
            </w:tcMar>
          </w:tcPr>
          <w:p>
            <w:pPr>
              <w:spacing w:after="40" w:line="260"/>
            </w:pPr>
            <w:r>
              <w:rPr>
                <w:rFonts w:ascii="Calibri" w:cs="Calibri" w:eastAsia="Calibri" w:hAnsi="Calibri"/>
                <w:b w:val="false"/>
                <w:bCs w:val="false"/>
                <w:color w:val="1C1F1D"/>
                <w:sz w:val="20"/>
                <w:szCs w:val="20"/>
              </w:rPr>
              <w:t xml:space="preserve">Project Requests, Other Approvals, Invoice Submission, plus downstream automation (non-Ariba invoice hand-off, onboarding feeds).</w:t>
            </w:r>
          </w:p>
        </w:tc>
        <w:tc>
          <w:tcPr>
            <w:tcW w:type="dxa" w:w="3620"/>
            <w:shd w:fill="F3F5F0" w:val="clear"/>
            <w:tcMar>
              <w:top w:type="dxa" w:w="100"/>
              <w:left w:type="dxa" w:w="140"/>
              <w:bottom w:type="dxa" w:w="100"/>
              <w:right w:type="dxa" w:w="140"/>
            </w:tcMar>
          </w:tcPr>
          <w:p>
            <w:pPr>
              <w:spacing w:after="40" w:line="260"/>
            </w:pPr>
            <w:r>
              <w:rPr>
                <w:rFonts w:ascii="Calibri" w:cs="Calibri" w:eastAsia="Calibri" w:hAnsi="Calibri"/>
                <w:b w:val="false"/>
                <w:bCs w:val="false"/>
                <w:color w:val="1C1F1D"/>
                <w:sz w:val="20"/>
                <w:szCs w:val="20"/>
              </w:rPr>
              <w:t xml:space="preserve">Downstream specifications (data lake, GD Hub, invoicing) delivered; requirements signed off.</w:t>
            </w:r>
          </w:p>
        </w:tc>
      </w:tr>
    </w:tbl>
    <w:p>
      <w:pPr>
        <w:spacing w:after="120" w:before="160" w:line="276"/>
      </w:pPr>
      <w:r>
        <w:rPr>
          <w:rFonts w:ascii="Calibri" w:cs="Calibri" w:eastAsia="Calibri" w:hAnsi="Calibri"/>
          <w:i/>
          <w:iCs/>
          <w:color w:val="1F6B3A"/>
          <w:sz w:val="21"/>
          <w:szCs w:val="21"/>
        </w:rPr>
        <w:t xml:space="preserve">Each phase is gated on documented requirements signed off by the EMS team, access to the source data, and UAT with real users, not on a calendar date.</w:t>
      </w:r>
    </w:p>
    <w:p>
      <w:pPr>
        <w:pStyle w:val="Heading1"/>
        <w:spacing w:after="160" w:before="320"/>
      </w:pPr>
      <w:r>
        <w:rPr>
          <w:rFonts w:ascii="Cambria" w:cs="Cambria" w:eastAsia="Cambria" w:hAnsi="Cambria"/>
          <w:b/>
          <w:bCs/>
          <w:color w:val="1C4D2E"/>
          <w:sz w:val="28"/>
          <w:szCs w:val="28"/>
        </w:rPr>
        <w:t xml:space="preserve">What we need from leadership</w:t>
      </w:r>
    </w:p>
    <w:p>
      <w:pPr>
        <w:pStyle w:val="ListParagraph"/>
        <w:numPr>
          <w:ilvl w:val="0"/>
          <w:numId w:val="4"/>
        </w:numPr>
        <w:spacing w:after="140" w:line="276"/>
      </w:pPr>
      <w:r>
        <w:rPr>
          <w:rFonts w:ascii="Calibri" w:cs="Calibri" w:eastAsia="Calibri" w:hAnsi="Calibri"/>
          <w:b/>
          <w:bCs/>
          <w:color w:val="1C1F1D"/>
          <w:sz w:val="22"/>
          <w:szCs w:val="22"/>
        </w:rPr>
        <w:t xml:space="preserve">Endorse the phased scope </w:t>
      </w:r>
      <w:r>
        <w:rPr>
          <w:rFonts w:ascii="Calibri" w:cs="Calibri" w:eastAsia="Calibri" w:hAnsi="Calibri"/>
          <w:color w:val="1C1F1D"/>
          <w:sz w:val="22"/>
          <w:szCs w:val="22"/>
        </w:rPr>
        <w:t xml:space="preserve">and hold September to Phase 1.</w:t>
      </w:r>
    </w:p>
    <w:p>
      <w:pPr>
        <w:pStyle w:val="ListParagraph"/>
        <w:numPr>
          <w:ilvl w:val="0"/>
          <w:numId w:val="4"/>
        </w:numPr>
        <w:spacing w:after="140" w:line="276"/>
      </w:pPr>
      <w:r>
        <w:rPr>
          <w:rFonts w:ascii="Calibri" w:cs="Calibri" w:eastAsia="Calibri" w:hAnsi="Calibri"/>
          <w:b/>
          <w:bCs/>
          <w:color w:val="1C1F1D"/>
          <w:sz w:val="22"/>
          <w:szCs w:val="22"/>
        </w:rPr>
        <w:t xml:space="preserve">Unblock discovery. </w:t>
      </w:r>
      <w:r>
        <w:rPr>
          <w:rFonts w:ascii="Calibri" w:cs="Calibri" w:eastAsia="Calibri" w:hAnsi="Calibri"/>
          <w:color w:val="1C1F1D"/>
          <w:sz w:val="22"/>
          <w:szCs w:val="22"/>
        </w:rPr>
        <w:t xml:space="preserve">Direct the EMS and business team to deliver the eleven outstanding artifacts and to name a subject matter expert for each flow. Our current bottleneck is reverse engineering, not build capacity.</w:t>
      </w:r>
    </w:p>
    <w:p>
      <w:pPr>
        <w:pStyle w:val="ListParagraph"/>
        <w:numPr>
          <w:ilvl w:val="0"/>
          <w:numId w:val="4"/>
        </w:numPr>
        <w:spacing w:after="140" w:line="276"/>
      </w:pPr>
      <w:r>
        <w:rPr>
          <w:rFonts w:ascii="Calibri" w:cs="Calibri" w:eastAsia="Calibri" w:hAnsi="Calibri"/>
          <w:b/>
          <w:bCs/>
          <w:color w:val="1C1F1D"/>
          <w:sz w:val="22"/>
          <w:szCs w:val="22"/>
        </w:rPr>
        <w:t xml:space="preserve">Accept the redirect model as the interim state. </w:t>
      </w:r>
      <w:r>
        <w:rPr>
          <w:rFonts w:ascii="Calibri" w:cs="Calibri" w:eastAsia="Calibri" w:hAnsi="Calibri"/>
          <w:color w:val="1C1F1D"/>
          <w:sz w:val="22"/>
          <w:szCs w:val="22"/>
        </w:rPr>
        <w:t xml:space="preserve">GTS users get one front door on day one, and the other flows keep working exactly as they do today until their phase is delivered.</w:t>
      </w:r>
    </w:p>
    <w:p>
      <w:pPr>
        <w:pBdr>
          <w:top w:val="single" w:color="DFE2DA" w:sz="4" w:space="6"/>
        </w:pBdr>
        <w:spacing w:before="280" w:line="260"/>
      </w:pPr>
      <w:r>
        <w:rPr>
          <w:rFonts w:ascii="Calibri" w:cs="Calibri" w:eastAsia="Calibri" w:hAnsi="Calibri"/>
          <w:i/>
          <w:iCs/>
          <w:color w:val="54584F"/>
          <w:sz w:val="19"/>
          <w:szCs w:val="19"/>
        </w:rPr>
        <w:t xml:space="preserve">Supporting material: 60-second walkthrough video (USFF_EMS_v7_Walkthrough.mp4), clickable prototype (USFF_EMS_Clickable_Prototype_v7.html), 34-screen review pack (USFF_EMS_v7_Screens), and the two-flow process map (USFF_EMS_Two_Flows.png).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320"/>
      </w:pPr>
    </w:lvl>
  </w:abstractNum>
  <w:abstractNum w:abstractNumId="4" w15:restartNumberingAfterBreak="0">
    <w:multiLevelType w:val="hybridMultilevel"/>
    <w:lvl w:ilvl="0" w15:tentative="1">
      <w:start w:val="1"/>
      <w:numFmt w:val="decimal"/>
      <w:lvlText w:val="%1."/>
      <w:lvlJc w:val="left"/>
      <w:pPr>
        <w:ind w:left="4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2026-07-18T14:20:39.423Z</dcterms:created>
  <dcterms:modified xsi:type="dcterms:W3CDTF">2026-07-18T14:20:39.428Z</dcterms:modified>
</cp:coreProperties>
</file>

<file path=docProps/custom.xml><?xml version="1.0" encoding="utf-8"?>
<Properties xmlns="http://schemas.openxmlformats.org/officeDocument/2006/custom-properties" xmlns:vt="http://schemas.openxmlformats.org/officeDocument/2006/docPropsVTypes"/>
</file>