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36"/>
          <w:szCs w:val="36"/>
        </w:rPr>
        <w:t xml:space="preserve">BACKLOG AT A GLANCE</w:t>
      </w:r>
    </w:p>
    <w:p>
      <w:pPr>
        <w:spacing w:after="20"/>
      </w:pPr>
      <w:r>
        <w:rPr>
          <w:b/>
          <w:bCs/>
          <w:color w:val="2E5C8A"/>
          <w:sz w:val="22"/>
          <w:szCs w:val="22"/>
        </w:rPr>
        <w:t xml:space="preserve">USFF × EMS/SPID Consolidation — 23 epics, 80 stories, 400 points</w:t>
      </w:r>
    </w:p>
    <w:p>
      <w:pPr>
        <w:spacing w:after="260"/>
      </w:pPr>
      <w:r>
        <w:rPr>
          <w:i/>
          <w:iCs/>
          <w:color w:val="5A5A5A"/>
          <w:sz w:val="17"/>
          <w:szCs w:val="17"/>
        </w:rPr>
        <w:t xml:space="preserve">Titles and point estimates only — open the Engineering Backlog document for full acceptance criteria, implementation notes, and rule references on any story.</w:t>
      </w:r>
    </w:p>
    <w:p>
      <w:pPr>
        <w:pStyle w:val="Heading1"/>
        <w:pBdr>
          <w:bottom w:val="single" w:color="1F2A44" w:sz="8" w:space="3"/>
        </w:pBdr>
        <w:spacing w:after="100" w:before="280"/>
      </w:pPr>
      <w:r>
        <w:rPr>
          <w:b/>
          <w:bCs/>
          <w:color w:val="1F2A44"/>
          <w:sz w:val="26"/>
          <w:szCs w:val="26"/>
        </w:rPr>
        <w:t xml:space="preserve">Phase 1 — Foundation</w:t>
      </w:r>
      <w:r>
        <w:rPr>
          <w:b w:val="false"/>
          <w:bCs w:val="false"/>
          <w:color w:val="5A5A5A"/>
          <w:sz w:val="18"/>
          <w:szCs w:val="18"/>
        </w:rPr>
        <w:t xml:space="preserve">   (4 epics · 18 stories · 93 pts)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500"/>
        <w:gridCol w:w="900"/>
        <w:gridCol w:w="1200"/>
        <w:gridCol w:w="1700"/>
      </w:tblGrid>
      <w:tr>
        <w:trPr>
          <w:tblHeader/>
        </w:trPr>
        <w:tc>
          <w:tcPr>
            <w:tcW w:type="dxa" w:w="10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5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Epic / Story</w:t>
            </w:r>
          </w:p>
        </w:tc>
        <w:tc>
          <w:tcPr>
            <w:tcW w:type="dxa" w:w="9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Cx</w:t>
            </w:r>
          </w:p>
        </w:tc>
        <w:tc>
          <w:tcPr>
            <w:tcW w:type="dxa" w:w="12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Pts</w:t>
            </w:r>
          </w:p>
        </w:tc>
        <w:tc>
          <w:tcPr>
            <w:tcW w:type="dxa" w:w="17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1.1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GTS Detection &amp; Front-Door Triage Engine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1.1.1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GTS detection gate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1.1.2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Type of Expense front door and routing engine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1.1.3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Approval to Hire Resource Type sub-routing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1.1.4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locked-field carry-forward framework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1.1.5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executive-override path and GD-LTC future-scope gate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1.2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Role, Permission &amp; Requestor Identity Foundation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1.2.1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Extend SSO claims with GTS role and segment attributes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1.2.2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Auto-populate Requestor from SSO instead of a manual dropdown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1.2.3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Scaffold the permission matrix for the eleven new roles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1.2.4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Scope BOM Lead and Segment Lead access to Segment/Level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1.3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EMS Admin Hub &amp; Reference Data Framework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1.3.1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EMS Admin Hub shell and navigation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1.3.2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generic Reference Data &amp; Bulk Loads engine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1.3.3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Segment/Business Unit taxonomy table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1.3.4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an interim EMS-Admin-maintained vendor master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1.4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Financial Approval Matrix — Skip-Logic Engine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1.4.1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Design the Approval Matrix data model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1.4.2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Load the GTS cheat-sheet approval bands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1.4.3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Approval Matrix maintenance UI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1.4.4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skip-logic evaluation service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1.4.5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Support bulk CSV load of Approval Matrix rows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2A44" w:sz="8" w:space="3"/>
        </w:pBdr>
        <w:spacing w:after="100" w:before="280"/>
      </w:pPr>
      <w:r>
        <w:rPr>
          <w:b/>
          <w:bCs/>
          <w:color w:val="1F2A44"/>
          <w:sz w:val="26"/>
          <w:szCs w:val="26"/>
        </w:rPr>
        <w:t xml:space="preserve">Phase 2 — Core Intake &amp; Forms</w:t>
      </w:r>
      <w:r>
        <w:rPr>
          <w:b w:val="false"/>
          <w:bCs w:val="false"/>
          <w:color w:val="5A5A5A"/>
          <w:sz w:val="18"/>
          <w:szCs w:val="18"/>
        </w:rPr>
        <w:t xml:space="preserve">   (6 epics · 24 stories · 104 pts)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500"/>
        <w:gridCol w:w="900"/>
        <w:gridCol w:w="1200"/>
        <w:gridCol w:w="1700"/>
      </w:tblGrid>
      <w:tr>
        <w:trPr>
          <w:tblHeader/>
        </w:trPr>
        <w:tc>
          <w:tcPr>
            <w:tcW w:type="dxa" w:w="10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5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Epic / Story</w:t>
            </w:r>
          </w:p>
        </w:tc>
        <w:tc>
          <w:tcPr>
            <w:tcW w:type="dxa" w:w="9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Cx</w:t>
            </w:r>
          </w:p>
        </w:tc>
        <w:tc>
          <w:tcPr>
            <w:tcW w:type="dxa" w:w="12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Pts</w:t>
            </w:r>
          </w:p>
        </w:tc>
        <w:tc>
          <w:tcPr>
            <w:tcW w:type="dxa" w:w="17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2.1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Approval to Hire (ATH) Intake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2.1.1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ATH General Info and core intake fields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2.1.2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conditional AMCB Details section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2.1.3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Resource Details (Bulk) tab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2.1.4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ATH Attachments and submission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2.1.5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Support the ATH reuse rules for GD vendor substitution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2.1.6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Enforce Draft/Submit/Cancel and restart-on-error for ATH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2.2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Pipeline (ATH) &amp; Pipeline (Vendor) Intake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2.2.1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Pipeline (ATH) intake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2.2.2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Pipeline (Vendor) intake with 90-day lead-time validation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2.2.3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Pipeline ID generation and validation service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2.2.4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Pipeline Attachments and submission flow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2.3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Vendor Expense Intake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2.3.1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Vendor Expense $100K gate completion and Ariba SR capture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2.3.2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Vendor Expense category and SOW type logic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2.3.3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Vendor Expense resource, RFP, and F/X logic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2.3.4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Vendor Expense Attachments and submission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2.4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Project Request Intake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2.4.1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Project Request core fields and COR/Apollo logic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2.4.2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Project Request currency/F-X logic and submission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2.5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Other Approval Requests &amp; Invoice Submission Intake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2.5.1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Other Approval Requests core and Control Exception logic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2.5.2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Other Approval Requests approval-level question and submission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2.5.3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Invoice Submission Ariba hand-off and non-Ariba fields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2.5.4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non-Ariba invoice fields, due-date auto-calc, and submission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2.6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Cross-Cutting Intake Framework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2.6.1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shared Draft/Submit/Cancel state machine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2.6.2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shared Resource Count validator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2.6.3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shared F/X-on-USD reveal pattern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2.6.4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shared Attachments uploader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2A44" w:sz="8" w:space="3"/>
        </w:pBdr>
        <w:spacing w:after="100" w:before="280"/>
      </w:pPr>
      <w:r>
        <w:rPr>
          <w:b/>
          <w:bCs/>
          <w:color w:val="1F2A44"/>
          <w:sz w:val="26"/>
          <w:szCs w:val="26"/>
        </w:rPr>
        <w:t xml:space="preserve">Phase 3 — Approval, Agenda &amp; Governance</w:t>
      </w:r>
      <w:r>
        <w:rPr>
          <w:b w:val="false"/>
          <w:bCs w:val="false"/>
          <w:color w:val="5A5A5A"/>
          <w:sz w:val="18"/>
          <w:szCs w:val="18"/>
        </w:rPr>
        <w:t xml:space="preserve">   (6 epics · 20 stories · 113 pts)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500"/>
        <w:gridCol w:w="900"/>
        <w:gridCol w:w="1200"/>
        <w:gridCol w:w="1700"/>
      </w:tblGrid>
      <w:tr>
        <w:trPr>
          <w:tblHeader/>
        </w:trPr>
        <w:tc>
          <w:tcPr>
            <w:tcW w:type="dxa" w:w="10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5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Epic / Story</w:t>
            </w:r>
          </w:p>
        </w:tc>
        <w:tc>
          <w:tcPr>
            <w:tcW w:type="dxa" w:w="9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Cx</w:t>
            </w:r>
          </w:p>
        </w:tc>
        <w:tc>
          <w:tcPr>
            <w:tcW w:type="dxa" w:w="12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Pts</w:t>
            </w:r>
          </w:p>
        </w:tc>
        <w:tc>
          <w:tcPr>
            <w:tcW w:type="dxa" w:w="17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3.1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Multi-Chain Status-Driven Approval Engine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3.1.1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chain template selection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3.1.2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per-step agenda/meeting status tracking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3.1.3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Model SEVP as an intake-attached approval, distinct from agenda outcomes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3.1.4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approval-outcome email notifications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3.2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Agenda Dashboard &amp; Record Status Drill-down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3.2.1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Agenda Dashboard (BOM view)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3.2.2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Record Detail Status-first drill-down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3.2.3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click-through drill-down from dashboard to full record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3.3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Agenda Builder (BOM Tool)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3.3.1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agenda creation with matching-count preview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3.3.2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agenda generation with Excel export and email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3.3.3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Gallery, Modify, and Close Agenda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3.3.4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Support per-level outcomes with comments and attachments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3.4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Pipeline Requests Dashboard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3.4.1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Pipeline Requests list/filter view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3.4.2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Wire Pipeline Requests Dashboard drill-down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3.5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Management Consulting Workflow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3.5.1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MC classification logic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3.5.2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Proof of Funding step with 10 SOW justification questions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3.5.3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MC Excel package auto-generation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3.5.4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2-day SLA countdown banner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3.6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Delegate Assignment &amp; SPID/Ariba Hand-off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3.6.1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delegate assignment for the documented SEVP delegation case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3.6.2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Pipeline→SPID data carry-forward and material-change flagging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3.6.3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Ariba/DocuSign external hand-off links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2A44" w:sz="8" w:space="3"/>
        </w:pBdr>
        <w:spacing w:after="100" w:before="280"/>
      </w:pPr>
      <w:r>
        <w:rPr>
          <w:b/>
          <w:bCs/>
          <w:color w:val="1F2A44"/>
          <w:sz w:val="26"/>
          <w:szCs w:val="26"/>
        </w:rPr>
        <w:t xml:space="preserve">Phase 4 — Downstream Integration &amp; Notifications</w:t>
      </w:r>
      <w:r>
        <w:rPr>
          <w:b w:val="false"/>
          <w:bCs w:val="false"/>
          <w:color w:val="5A5A5A"/>
          <w:sz w:val="18"/>
          <w:szCs w:val="18"/>
        </w:rPr>
        <w:t xml:space="preserve">   (4 epics · 10 stories · 46 pts)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500"/>
        <w:gridCol w:w="900"/>
        <w:gridCol w:w="1200"/>
        <w:gridCol w:w="1700"/>
      </w:tblGrid>
      <w:tr>
        <w:trPr>
          <w:tblHeader/>
        </w:trPr>
        <w:tc>
          <w:tcPr>
            <w:tcW w:type="dxa" w:w="10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5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Epic / Story</w:t>
            </w:r>
          </w:p>
        </w:tc>
        <w:tc>
          <w:tcPr>
            <w:tcW w:type="dxa" w:w="9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Cx</w:t>
            </w:r>
          </w:p>
        </w:tc>
        <w:tc>
          <w:tcPr>
            <w:tcW w:type="dxa" w:w="12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Pts</w:t>
            </w:r>
          </w:p>
        </w:tc>
        <w:tc>
          <w:tcPr>
            <w:tcW w:type="dxa" w:w="17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4.1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Onboarding &amp; Invoicing Portal Extracts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4.1.1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Onboarding Portal read-only extract job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4.1.2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Invoicing Portal read-only extract job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4.1.3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extract audit and reconciliation tracking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4.2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GD Hub Integration &amp; Non-Ariba Invoice Hand-off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4.2.1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GD Hub feed emission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4.2.2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structured non-Ariba invoice hand-off to Shilpa's team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4.2.3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Reconcile GD Hub and Shilpa's-team hand-offs into the extract audit log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4.3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Notification &amp; SLA Countdown Framework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4.3.1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templated email notification service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4.3.2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business-day-aware SLA countdown service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4.3.3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notification and SLA audit tracking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4.4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GD-LTC Pre-Intake Future-Scope Gate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4.4.1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Define the Pre-Intake completion integration point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2A44" w:sz="8" w:space="3"/>
        </w:pBdr>
        <w:spacing w:after="100" w:before="280"/>
      </w:pPr>
      <w:r>
        <w:rPr>
          <w:b/>
          <w:bCs/>
          <w:color w:val="1F2A44"/>
          <w:sz w:val="26"/>
          <w:szCs w:val="26"/>
        </w:rPr>
        <w:t xml:space="preserve">Phase 5 — Reporting, Dashboards &amp; Optimization</w:t>
      </w:r>
      <w:r>
        <w:rPr>
          <w:b w:val="false"/>
          <w:bCs w:val="false"/>
          <w:color w:val="5A5A5A"/>
          <w:sz w:val="18"/>
          <w:szCs w:val="18"/>
        </w:rPr>
        <w:t xml:space="preserve">   (3 epics · 8 stories · 44 pts)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500"/>
        <w:gridCol w:w="900"/>
        <w:gridCol w:w="1200"/>
        <w:gridCol w:w="1700"/>
      </w:tblGrid>
      <w:tr>
        <w:trPr>
          <w:tblHeader/>
        </w:trPr>
        <w:tc>
          <w:tcPr>
            <w:tcW w:type="dxa" w:w="10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5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Epic / Story</w:t>
            </w:r>
          </w:p>
        </w:tc>
        <w:tc>
          <w:tcPr>
            <w:tcW w:type="dxa" w:w="9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Cx</w:t>
            </w:r>
          </w:p>
        </w:tc>
        <w:tc>
          <w:tcPr>
            <w:tcW w:type="dxa" w:w="12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Pts</w:t>
            </w:r>
          </w:p>
        </w:tc>
        <w:tc>
          <w:tcPr>
            <w:tcW w:type="dxa" w:w="1700"/>
            <w:shd w:fill="1F2A44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5.1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Record Detail Drill-down &amp; Search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5.1.1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full field-level tabs on Record Detail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5.1.2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Edit History / audit trail view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5.1.3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search across intake and Pipeline records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5.2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Reporting &amp; Analytics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5.2.1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spend-by-vendor/segment report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5.2.2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approval cycle-time report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5.2.3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Build the Management Consulting SLA compliance report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5.3</w:t>
            </w:r>
          </w:p>
        </w:tc>
        <w:tc>
          <w:tcPr>
            <w:tcW w:type="dxa" w:w="105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BOM View Phase 2 Enhancements</w:t>
            </w:r>
          </w:p>
        </w:tc>
        <w:tc>
          <w:tcPr>
            <w:tcW w:type="dxa" w:w="9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EPIC</w:t>
            </w:r>
          </w:p>
        </w:tc>
      </w:tr>
      <w:tr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5.3.1</w:t>
            </w:r>
          </w:p>
        </w:tc>
        <w:tc>
          <w:tcPr>
            <w:tcW w:type="dxa" w:w="10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Automate requeue of skipped agenda items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5.3.2</w:t>
            </w:r>
          </w:p>
        </w:tc>
        <w:tc>
          <w:tcPr>
            <w:tcW w:type="dxa" w:w="10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Scope and, if approved, build a self-service invoice review queue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top w:val="single" w:color="1F2A44" w:sz="8" w:space="4"/>
        </w:pBdr>
        <w:spacing w:before="200"/>
      </w:pPr>
      <w:r>
        <w:rPr>
          <w:b/>
          <w:bCs/>
          <w:color w:val="1F2A44"/>
          <w:sz w:val="22"/>
          <w:szCs w:val="22"/>
        </w:rPr>
        <w:t xml:space="preserve">TOTAL: 23 epics · 80 stories · 400 points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2026-07-11T02:26:51.178Z</dcterms:created>
  <dcterms:modified xsi:type="dcterms:W3CDTF">2026-07-11T02:26:51.178Z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