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44"/>
          <w:sz w:val="36"/>
          <w:szCs w:val="36"/>
        </w:rPr>
        <w:t xml:space="preserve">SUGGESTED SPRINT PLAN</w:t>
      </w:r>
    </w:p>
    <w:p>
      <w:pPr>
        <w:spacing w:after="20"/>
      </w:pPr>
      <w:r>
        <w:rPr>
          <w:b/>
          <w:bCs/>
          <w:color w:val="2E5C8A"/>
          <w:sz w:val="22"/>
          <w:szCs w:val="22"/>
        </w:rPr>
        <w:t xml:space="preserve">USFF × EMS/SPID Consolidation — single-team baseline</w:t>
      </w:r>
    </w:p>
    <w:p>
      <w:pPr>
        <w:spacing w:after="260"/>
      </w:pPr>
      <w:r>
        <w:rPr>
          <w:i/>
          <w:iCs/>
          <w:color w:val="5A5A5A"/>
          <w:sz w:val="17"/>
          <w:szCs w:val="17"/>
        </w:rPr>
        <w:t xml:space="preserve">A starting point for sprint planning, not a commitment — recalibrate against your team's actual velocity after Sprint 2.</w:t>
      </w:r>
    </w:p>
    <w:p>
      <w:pPr>
        <w:pStyle w:val="Heading2"/>
        <w:spacing w:after="180" w:before="360"/>
      </w:pPr>
      <w:r>
        <w:rPr>
          <w:b/>
          <w:bCs/>
          <w:color w:val="2E5C8A"/>
          <w:sz w:val="26"/>
          <w:szCs w:val="26"/>
        </w:rPr>
        <w:t xml:space="preserve">Assumptions</w:t>
      </w:r>
    </w:p>
    <w:p>
      <w:pPr>
        <w:pStyle w:val="ListParagraph"/>
        <w:numPr>
          <w:ilvl w:val="0"/>
          <w:numId w:val="{bullet-list-0}"/>
        </w:numPr>
        <w:spacing w:after="90" w:line="264"/>
      </w:pPr>
      <w:r>
        <w:rPr>
          <w:sz w:val="21"/>
          <w:szCs w:val="21"/>
        </w:rPr>
        <w:t xml:space="preserve">One scrum team, 2-week sprints, ~20 story points of capacity per sprint. This is a placeholder — swap in your team's real velocity; at 400 total points, sprint count scales directly as 400 ÷ your velocity (e.g., 25 pts/sprint → 16 sprints, 30 pts/sprint → ~13-14 sprints).</w:t>
      </w:r>
    </w:p>
    <w:p>
      <w:pPr>
        <w:pStyle w:val="ListParagraph"/>
        <w:numPr>
          <w:ilvl w:val="0"/>
          <w:numId w:val="{bullet-list-0}"/>
        </w:numPr>
        <w:spacing w:after="90" w:line="264"/>
      </w:pPr>
      <w:r>
        <w:rPr>
          <w:sz w:val="21"/>
          <w:szCs w:val="21"/>
        </w:rPr>
        <w:t xml:space="preserve">Stories are sequenced by phase and epic order from the Roadmap/Backlog, with one adjustment: Epic 2.6 (the cross-cutting Draft/Submit/Cancel, validation, and attachments framework) is pulled forward to run immediately after Epic 1.1, because Phase 1's front-door work (1.1.3, 1.1.4) and every Phase 2 form depend on it — building it in its originally-listed Phase 2 position would mean re-touching early stories once it lands.</w:t>
      </w:r>
    </w:p>
    <w:p>
      <w:pPr>
        <w:pStyle w:val="ListParagraph"/>
        <w:numPr>
          <w:ilvl w:val="0"/>
          <w:numId w:val="{bullet-list-0}"/>
        </w:numPr>
        <w:spacing w:after="90" w:line="264"/>
      </w:pPr>
      <w:r>
        <w:rPr>
          <w:sz w:val="21"/>
          <w:szCs w:val="21"/>
        </w:rPr>
        <w:t xml:space="preserve">This plan does not model multiple parallel workstreams. The Roadmap's Dependency Map (Section 8) already identifies several places work can run in parallel — see the note at the end of this document for how much that could compress the timeline.</w:t>
      </w:r>
    </w:p>
    <w:p>
      <w:pPr>
        <w:pStyle w:val="ListParagraph"/>
        <w:numPr>
          <w:ilvl w:val="0"/>
          <w:numId w:val="{bullet-list-0}"/>
        </w:numPr>
        <w:spacing w:after="90" w:line="264"/>
      </w:pPr>
      <w:r>
        <w:rPr>
          <w:sz w:val="21"/>
          <w:szCs w:val="21"/>
        </w:rPr>
        <w:t xml:space="preserve">Sprint boundaries here are a greedy pack by points, not a judgment call about what's easiest to demo together — use this as a starting draft for a real sprint-planning conversation, not a final commitment.</w:t>
      </w:r>
    </w:p>
    <w:p>
      <w:pPr>
        <w:pStyle w:val="Heading2"/>
        <w:spacing w:after="180" w:before="360"/>
      </w:pPr>
      <w:r>
        <w:rPr>
          <w:b/>
          <w:bCs/>
          <w:color w:val="2E5C8A"/>
          <w:sz w:val="26"/>
          <w:szCs w:val="26"/>
        </w:rPr>
        <w:t xml:space="preserve">Sprint-by-sprint breakdown</w:t>
      </w:r>
    </w:p>
    <w:tbl>
      <w:tblPr>
        <w:tblW w:type="dxa" w:w="15300"/>
        <w:tblBorders>
          <w:top w:val="single" w:color="auto" w:sz="4"/>
          <w:left w:val="single" w:color="auto" w:sz="4"/>
          <w:bottom w:val="single" w:color="auto" w:sz="4"/>
          <w:right w:val="single" w:color="auto" w:sz="4"/>
          <w:insideH w:val="single" w:color="auto" w:sz="4"/>
          <w:insideV w:val="single" w:color="auto" w:sz="4"/>
        </w:tblBorders>
      </w:tblPr>
      <w:tblGrid>
        <w:gridCol w:w="1400"/>
        <w:gridCol w:w="11200"/>
        <w:gridCol w:w="900"/>
        <w:gridCol w:w="1800"/>
      </w:tblGrid>
      <w:tr>
        <w:trPr>
          <w:tblHeader/>
        </w:trPr>
        <w:tc>
          <w:tcPr>
            <w:tcW w:type="dxa" w:w="1400"/>
            <w:shd w:fill="1F2A44" w:val="clear"/>
            <w:tcMar>
              <w:top w:type="dxa" w:w="40"/>
              <w:left w:type="dxa" w:w="90"/>
              <w:bottom w:type="dxa" w:w="40"/>
              <w:right w:type="dxa" w:w="90"/>
            </w:tcMar>
            <w:vAlign w:val="center"/>
          </w:tcPr>
          <w:p>
            <w:pPr>
              <w:spacing w:after="0"/>
            </w:pPr>
            <w:r>
              <w:rPr>
                <w:b/>
                <w:bCs/>
                <w:color w:val="FFFFFF"/>
                <w:sz w:val="16"/>
                <w:szCs w:val="16"/>
              </w:rPr>
              <w:t xml:space="preserve">Sprint</w:t>
            </w:r>
          </w:p>
        </w:tc>
        <w:tc>
          <w:tcPr>
            <w:tcW w:type="dxa" w:w="11200"/>
            <w:shd w:fill="1F2A44" w:val="clear"/>
            <w:tcMar>
              <w:top w:type="dxa" w:w="40"/>
              <w:left w:type="dxa" w:w="90"/>
              <w:bottom w:type="dxa" w:w="40"/>
              <w:right w:type="dxa" w:w="90"/>
            </w:tcMar>
            <w:vAlign w:val="center"/>
          </w:tcPr>
          <w:p>
            <w:pPr>
              <w:spacing w:after="0"/>
            </w:pPr>
            <w:r>
              <w:rPr>
                <w:b/>
                <w:bCs/>
                <w:color w:val="FFFFFF"/>
                <w:sz w:val="16"/>
                <w:szCs w:val="16"/>
              </w:rPr>
              <w:t xml:space="preserve">Stories</w:t>
            </w:r>
          </w:p>
        </w:tc>
        <w:tc>
          <w:tcPr>
            <w:tcW w:type="dxa" w:w="900"/>
            <w:shd w:fill="1F2A44" w:val="clear"/>
            <w:tcMar>
              <w:top w:type="dxa" w:w="40"/>
              <w:left w:type="dxa" w:w="90"/>
              <w:bottom w:type="dxa" w:w="40"/>
              <w:right w:type="dxa" w:w="90"/>
            </w:tcMar>
            <w:vAlign w:val="center"/>
          </w:tcPr>
          <w:p>
            <w:pPr>
              <w:spacing w:after="0"/>
            </w:pPr>
            <w:r>
              <w:rPr>
                <w:b/>
                <w:bCs/>
                <w:color w:val="FFFFFF"/>
                <w:sz w:val="16"/>
                <w:szCs w:val="16"/>
              </w:rPr>
              <w:t xml:space="preserve">Pts</w:t>
            </w:r>
          </w:p>
        </w:tc>
        <w:tc>
          <w:tcPr>
            <w:tcW w:type="dxa" w:w="1800"/>
            <w:shd w:fill="1F2A44" w:val="clear"/>
            <w:tcMar>
              <w:top w:type="dxa" w:w="40"/>
              <w:left w:type="dxa" w:w="90"/>
              <w:bottom w:type="dxa" w:w="40"/>
              <w:right w:type="dxa" w:w="90"/>
            </w:tcMar>
            <w:vAlign w:val="center"/>
          </w:tcPr>
          <w:p>
            <w:pPr>
              <w:spacing w:after="0"/>
            </w:pPr>
            <w:r>
              <w:rPr>
                <w:b/>
                <w:bCs/>
                <w:color w:val="FFFFFF"/>
                <w:sz w:val="16"/>
                <w:szCs w:val="16"/>
              </w:rPr>
              <w:t xml:space="preserve">Cumulative</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1</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1.1.1 Build the GTS detection gate;  1.1.2 Build the Type of Expense front door and routing engine;  1.1.3 Build Approval to Hire Resource Type sub-routing</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18</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18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2</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1.1.4 Build the locked-field carry-forward framework;  1.1.5 Build the executive-override path and GD-LTC future-scope gate;  2.6.1 Build the shared Draft/Submit/Cancel state machine;  2.6.2 Build the shared Resource Count validator</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19</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37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3</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2.6.3 Build the shared F/X-on-USD reveal pattern;  2.6.4 Build the shared Attachments uploader;  1.2.1 Extend SSO claims with GTS role and segment attributes;  1.2.2 Auto-populate Requestor from SSO instead of a manual dropdown;  1.2.3 Scaffold the permission matrix for the eleven new roles</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20</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57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4</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1.2.4 Scope BOM Lead and Segment Lead access to Segment/Level;  1.3.1 Build the EMS Admin Hub shell and navigation;  1.3.2 Build the generic Reference Data &amp; Bulk Loads engine</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73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5</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1.3.3 Build the Segment/Business Unit taxonomy table;  1.3.4 Build an interim EMS-Admin-maintained vendor master;  1.4.1 Design the Approval Matrix data model;  1.4.2 Load the GTS cheat-sheet approval bands</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20</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93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6</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1.4.3 Build the Approval Matrix maintenance UI;  1.4.4 Build the skip-logic evaluation service;  1.4.5 Support bulk CSV load of Approval Matrix rows</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109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7</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2.1.1 Build ATH General Info and core intake fields;  2.1.2 Build the conditional AMCB Details section;  2.1.3 Build the Resource Details (Bulk) tab</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18</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127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8</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2.1.4 Build ATH Attachments and submission;  2.1.5 Support the ATH reuse rules for GD vendor substitution;  2.1.6 Enforce Draft/Submit/Cancel and restart-on-error for ATH;  2.2.1 Build Pipeline (ATH) intake</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143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9</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2.2.2 Build Pipeline (Vendor) intake with 90-day lead-time validation;  2.2.3 Build Pipeline ID generation and validation service;  2.2.4 Build the Pipeline Attachments and submission flow;  2.3.1 Build the Vendor Expense $100K gate completion and Ariba SR capture</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20</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163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10</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2.3.2 Build Vendor Expense category and SOW type logic;  2.3.3 Build Vendor Expense resource, RFP, and F/X logic;  2.3.4 Build Vendor Expense Attachments and submission;  2.4.1 Build Project Request core fields and COR/Apollo logic;  2.4.2 Build Project Request currency/F-X logic and submission</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18</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181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11</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2.5.1 Build Other Approval Requests core and Control Exception logic;  2.5.2 Build the Other Approval Requests approval-level question and submission;  2.5.3 Build Invoice Submission Ariba hand-off and non-Ariba fields;  2.5.4 Build non-Ariba invoice fields, due-date auto-calc, and submission</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197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12</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3.1.1 Build chain template selection;  3.1.2 Build per-step agenda/meeting status tracking</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213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13</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3.1.3 Model SEVP as an intake-attached approval, distinct from agenda outcomes;  3.1.4 Build approval-outcome email notifications;  3.2.1 Build the Agenda Dashboard (BOM view)</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13</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226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14</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3.2.2 Build the Record Detail Status-first drill-down;  3.2.3 Build click-through drill-down from dashboard to full record;  3.3.1 Build agenda creation with matching-count preview</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242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15</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3.3.2 Build agenda generation with Excel export and email;  3.3.3 Build Gallery, Modify, and Close Agenda</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258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16</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3.3.4 Support per-level outcomes with comments and attachments;  3.4.1 Build the Pipeline Requests list/filter view;  3.4.2 Wire Pipeline Requests Dashboard drill-down;  3.5.1 Build MC classification logic</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20</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278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17</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3.5.2 Build the Proof of Funding step with 10 SOW justification questions;  3.5.3 Build MC Excel package auto-generation;  3.5.4 Build the 2-day SLA countdown banner</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294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18</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3.6.1 Build delegate assignment for the documented SEVP delegation case;  3.6.2 Build Pipeline→SPID data carry-forward and material-change flagging;  3.6.3 Build Ariba/DocuSign external hand-off links</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310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19</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4.1.1 Build the Onboarding Portal read-only extract job;  4.1.2 Build the Invoicing Portal read-only extract job</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16</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326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20</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4.1.3 Build extract audit and reconciliation tracking;  4.2.1 Build the GD Hub feed emission;  4.2.2 Build the structured non-Ariba invoice hand-off to Shilpa's team;  4.2.3 Reconcile GD Hub and Shilpa's-team hand-offs into the extract audit log</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18</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344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21</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4.3.1 Build the templated email notification service;  4.3.2 Build the business-day-aware SLA countdown service;  4.3.3 Build notification and SLA audit tracking;  4.4.1 Define the Pre-Intake completion integration point;  5.1.1 Build full field-level tabs on Record Detail</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20</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364 / 400</w:t>
            </w:r>
          </w:p>
        </w:tc>
      </w:tr>
      <w:tr>
        <w:tc>
          <w:tcPr>
            <w:tcW w:type="dxa" w:w="14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Sprint 22</w:t>
            </w:r>
          </w:p>
        </w:tc>
        <w:tc>
          <w:tcPr>
            <w:tcW w:type="dxa" w:w="112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5.1.2 Build Edit History / audit trail view;  5.1.3 Build search across intake and Pipeline records;  5.2.1 Build the spend-by-vendor/segment report</w:t>
            </w:r>
          </w:p>
        </w:tc>
        <w:tc>
          <w:tcPr>
            <w:tcW w:type="dxa" w:w="9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18</w:t>
            </w:r>
          </w:p>
        </w:tc>
        <w:tc>
          <w:tcPr>
            <w:tcW w:type="dxa" w:w="1800"/>
            <w:shd w:fill="F2F2F2" w:val="clear"/>
            <w:tcMar>
              <w:top w:type="dxa" w:w="40"/>
              <w:left w:type="dxa" w:w="90"/>
              <w:bottom w:type="dxa" w:w="40"/>
              <w:right w:type="dxa" w:w="90"/>
            </w:tcMar>
            <w:vAlign w:val="center"/>
          </w:tcPr>
          <w:p>
            <w:pPr>
              <w:spacing w:after="0"/>
            </w:pPr>
            <w:r>
              <w:rPr>
                <w:b w:val="false"/>
                <w:bCs w:val="false"/>
                <w:color w:val="000000"/>
                <w:sz w:val="16"/>
                <w:szCs w:val="16"/>
              </w:rPr>
              <w:t xml:space="preserve">382 / 400</w:t>
            </w:r>
          </w:p>
        </w:tc>
      </w:tr>
      <w:tr>
        <w:tc>
          <w:tcPr>
            <w:tcW w:type="dxa" w:w="1400"/>
            <w:tcMar>
              <w:top w:type="dxa" w:w="40"/>
              <w:left w:type="dxa" w:w="90"/>
              <w:bottom w:type="dxa" w:w="40"/>
              <w:right w:type="dxa" w:w="90"/>
            </w:tcMar>
            <w:vAlign w:val="center"/>
          </w:tcPr>
          <w:p>
            <w:pPr>
              <w:spacing w:after="0"/>
            </w:pPr>
            <w:r>
              <w:rPr>
                <w:b w:val="false"/>
                <w:bCs w:val="false"/>
                <w:color w:val="000000"/>
                <w:sz w:val="16"/>
                <w:szCs w:val="16"/>
              </w:rPr>
              <w:t xml:space="preserve">Sprint 23</w:t>
            </w:r>
          </w:p>
        </w:tc>
        <w:tc>
          <w:tcPr>
            <w:tcW w:type="dxa" w:w="11200"/>
            <w:tcMar>
              <w:top w:type="dxa" w:w="40"/>
              <w:left w:type="dxa" w:w="90"/>
              <w:bottom w:type="dxa" w:w="40"/>
              <w:right w:type="dxa" w:w="90"/>
            </w:tcMar>
            <w:vAlign w:val="center"/>
          </w:tcPr>
          <w:p>
            <w:pPr>
              <w:spacing w:after="0"/>
            </w:pPr>
            <w:r>
              <w:rPr>
                <w:b w:val="false"/>
                <w:bCs w:val="false"/>
                <w:color w:val="000000"/>
                <w:sz w:val="16"/>
                <w:szCs w:val="16"/>
              </w:rPr>
              <w:t xml:space="preserve">5.2.2 Build the approval cycle-time report;  5.2.3 Build the Management Consulting SLA compliance report;  5.3.1 Automate requeue of skipped agenda items;  5.3.2 Scope and, if approved, build a self-service invoice review queue</w:t>
            </w:r>
          </w:p>
        </w:tc>
        <w:tc>
          <w:tcPr>
            <w:tcW w:type="dxa" w:w="900"/>
            <w:tcMar>
              <w:top w:type="dxa" w:w="40"/>
              <w:left w:type="dxa" w:w="90"/>
              <w:bottom w:type="dxa" w:w="40"/>
              <w:right w:type="dxa" w:w="90"/>
            </w:tcMar>
            <w:vAlign w:val="center"/>
          </w:tcPr>
          <w:p>
            <w:pPr>
              <w:spacing w:after="0"/>
            </w:pPr>
            <w:r>
              <w:rPr>
                <w:b w:val="false"/>
                <w:bCs w:val="false"/>
                <w:color w:val="000000"/>
                <w:sz w:val="16"/>
                <w:szCs w:val="16"/>
              </w:rPr>
              <w:t xml:space="preserve">18</w:t>
            </w:r>
          </w:p>
        </w:tc>
        <w:tc>
          <w:tcPr>
            <w:tcW w:type="dxa" w:w="1800"/>
            <w:tcMar>
              <w:top w:type="dxa" w:w="40"/>
              <w:left w:type="dxa" w:w="90"/>
              <w:bottom w:type="dxa" w:w="40"/>
              <w:right w:type="dxa" w:w="90"/>
            </w:tcMar>
            <w:vAlign w:val="center"/>
          </w:tcPr>
          <w:p>
            <w:pPr>
              <w:spacing w:after="0"/>
            </w:pPr>
            <w:r>
              <w:rPr>
                <w:b w:val="false"/>
                <w:bCs w:val="false"/>
                <w:color w:val="000000"/>
                <w:sz w:val="16"/>
                <w:szCs w:val="16"/>
              </w:rPr>
              <w:t xml:space="preserve">400 / 400</w:t>
            </w:r>
          </w:p>
        </w:tc>
      </w:tr>
    </w:tbl>
    <w:p>
      <w:pPr>
        <w:spacing w:before="200"/>
      </w:pPr>
    </w:p>
    <w:p>
      <w:pPr>
        <w:pStyle w:val="Heading2"/>
        <w:spacing w:after="180" w:before="360"/>
      </w:pPr>
      <w:r>
        <w:rPr>
          <w:b/>
          <w:bCs/>
          <w:color w:val="2E5C8A"/>
          <w:sz w:val="26"/>
          <w:szCs w:val="26"/>
        </w:rPr>
        <w:t xml:space="preserve">Milestones this schedule implies</w:t>
      </w:r>
    </w:p>
    <w:p>
      <w:pPr>
        <w:pStyle w:val="ListParagraph"/>
        <w:numPr>
          <w:ilvl w:val="0"/>
          <w:numId w:val="{bullet-list-0}"/>
        </w:numPr>
        <w:spacing w:after="90" w:line="264"/>
      </w:pPr>
      <w:r>
        <w:rPr>
          <w:sz w:val="21"/>
          <w:szCs w:val="21"/>
        </w:rPr>
        <w:t xml:space="preserve">End of Sprint ~5-6: Phase 1 Foundation complete (GTS detection, roles, EMS Admin Hub, Approval Matrix) — nothing user-facing yet, but everything downstream is unblocked.</w:t>
      </w:r>
    </w:p>
    <w:p>
      <w:pPr>
        <w:pStyle w:val="ListParagraph"/>
        <w:numPr>
          <w:ilvl w:val="0"/>
          <w:numId w:val="{bullet-list-0}"/>
        </w:numPr>
        <w:spacing w:after="90" w:line="264"/>
      </w:pPr>
      <w:r>
        <w:rPr>
          <w:sz w:val="21"/>
          <w:szCs w:val="21"/>
        </w:rPr>
        <w:t xml:space="preserve">End of Sprint ~11-12: Phase 2 Core Intake &amp; Forms complete — GTS users can submit all 5 expense types and both Pipeline types end-to-end (no approval routing yet).</w:t>
      </w:r>
    </w:p>
    <w:p>
      <w:pPr>
        <w:pStyle w:val="ListParagraph"/>
        <w:numPr>
          <w:ilvl w:val="0"/>
          <w:numId w:val="{bullet-list-0}"/>
        </w:numPr>
        <w:spacing w:after="90" w:line="264"/>
      </w:pPr>
      <w:r>
        <w:rPr>
          <w:sz w:val="21"/>
          <w:szCs w:val="21"/>
        </w:rPr>
        <w:t xml:space="preserve">End of Sprint ~17-18: Phase 3 Approval, Agenda &amp; Governance complete — full approval chains, Agenda Builder, and Management Consulting workflow live. This is the point at which USFF can plausibly replace the external EMS/SPID tools for a pilot group.</w:t>
      </w:r>
    </w:p>
    <w:p>
      <w:pPr>
        <w:pStyle w:val="ListParagraph"/>
        <w:numPr>
          <w:ilvl w:val="0"/>
          <w:numId w:val="{bullet-list-0}"/>
        </w:numPr>
        <w:spacing w:after="90" w:line="264"/>
      </w:pPr>
      <w:r>
        <w:rPr>
          <w:sz w:val="21"/>
          <w:szCs w:val="21"/>
        </w:rPr>
        <w:t xml:space="preserve">End of Sprint ~20: Phase 4 Downstream Integration complete — assuming data-lake specs have arrived by then (see Roadmap Section 8; this is the schedule's biggest external risk).</w:t>
      </w:r>
    </w:p>
    <w:p>
      <w:pPr>
        <w:pStyle w:val="ListParagraph"/>
        <w:numPr>
          <w:ilvl w:val="0"/>
          <w:numId w:val="{bullet-list-0}"/>
        </w:numPr>
        <w:spacing w:after="90" w:line="264"/>
      </w:pPr>
      <w:r>
        <w:rPr>
          <w:sz w:val="21"/>
          <w:szCs w:val="21"/>
        </w:rPr>
        <w:t xml:space="preserve">End of Sprint 23: Phase 5 Reporting &amp; Optimization complete — full program done.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If you have more than one team or workstream</w:t>
            </w:r>
          </w:p>
          <w:p>
            <w:pPr>
              <w:spacing w:after="0"/>
            </w:pPr>
            <w:r>
              <w:rPr>
                <w:color w:val="3A2A10"/>
                <w:sz w:val="20"/>
                <w:szCs w:val="20"/>
              </w:rPr>
              <w:t xml:space="preserve">The Roadmap's Dependency Map already flags several places this can parallelize: the five intake forms in Phase 2 (Epics 2.1–2.5) don't depend on each other once Epic 2.6's framework lands, and Onboarding/Invoicing/GD Hub extracts in Phase 4 (Epics 4.1–4.2) are independent of each other too. Two concurrent tracks — one on forms/UI, one on the approval engine/backend — could plausibly bring this down from ~23 sprints to something closer to 14–16, though Phase 3's approval engine still needs Phase 1's Approval Matrix and Phase 2's records to exist first, so the two tracks converge before Phase 3 can finish.</w:t>
            </w:r>
          </w:p>
        </w:tc>
      </w:tr>
    </w:tbl>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2026-07-11T02:26:51.336Z</dcterms:created>
  <dcterms:modified xsi:type="dcterms:W3CDTF">2026-07-11T02:26:51.336Z</dcterms:modified>
</cp:coreProperties>
</file>

<file path=docProps/custom.xml><?xml version="1.0" encoding="utf-8"?>
<Properties xmlns="http://schemas.openxmlformats.org/officeDocument/2006/custom-properties" xmlns:vt="http://schemas.openxmlformats.org/officeDocument/2006/docPropsVTypes"/>
</file>