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Light" w:hAnsi="Calibri Light"/>
          <w:b/>
          <w:color w:val="0B2545"/>
          <w:sz w:val="52"/>
        </w:rPr>
        <w:t>AI GOVERNANCE PROGRAM &amp; OPERATIONAL FRAMEWORK</w:t>
      </w:r>
    </w:p>
    <w:p>
      <w:pPr>
        <w:spacing w:before="0" w:after="320"/>
      </w:pPr>
      <w:r>
        <w:rPr>
          <w:rFonts w:ascii="Calibri" w:hAnsi="Calibri"/>
          <w:b/>
          <w:color w:val="00A896"/>
          <w:sz w:val="26"/>
        </w:rPr>
        <w:t>Secure, Responsible, and Productive Enterprise Artificial Intelligence Implementation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968"/>
        <w:gridCol w:w="4968"/>
      </w:tblGrid>
      <w:tr>
        <w:trPr>
          <w:tblHeader/>
        </w:trPr>
        <w:tc>
          <w:tcPr>
            <w:tcW w:type="dxa" w:w="3168"/>
            <w:shd w:fill="0B2545"/>
            <w:tcMar>
              <w:top w:w="120" w:type="dxa"/>
              <w:bottom w:w="120" w:type="dxa"/>
              <w:left w:w="140" w:type="dxa"/>
              <w:right w:w="140" w:type="dxa"/>
            </w:tcMar>
          </w:tcPr>
          <w:p>
            <w:pPr>
              <w:jc w:val="left"/>
            </w:pPr>
            <w:r>
              <w:rPr>
                <w:b/>
                <w:color w:val="FFFFFF"/>
                <w:sz w:val="19"/>
              </w:rPr>
              <w:t>Metadata Attribute</w:t>
            </w:r>
          </w:p>
        </w:tc>
        <w:tc>
          <w:tcPr>
            <w:tcW w:type="dxa" w:w="6768"/>
            <w:shd w:fill="0B2545"/>
            <w:tcMar>
              <w:top w:w="120" w:type="dxa"/>
              <w:bottom w:w="120" w:type="dxa"/>
              <w:left w:w="140" w:type="dxa"/>
              <w:right w:w="140" w:type="dxa"/>
            </w:tcMar>
          </w:tcPr>
          <w:p>
            <w:pPr>
              <w:jc w:val="left"/>
            </w:pPr>
            <w:r>
              <w:rPr>
                <w:b/>
                <w:color w:val="FFFFFF"/>
                <w:sz w:val="19"/>
              </w:rPr>
              <w:t>Configuration / Value</w:t>
            </w:r>
          </w:p>
        </w:tc>
      </w:tr>
      <w:tr>
        <w:trPr>
          <w:cantSplit/>
        </w:trPr>
        <w:tc>
          <w:tcPr>
            <w:tcW w:type="dxa" w:w="3168"/>
            <w:shd w:fill="FFFFFF"/>
            <w:tcMar>
              <w:top w:w="100" w:type="dxa"/>
              <w:bottom w:w="100" w:type="dxa"/>
              <w:left w:w="140" w:type="dxa"/>
              <w:right w:w="140" w:type="dxa"/>
            </w:tcMar>
          </w:tcPr>
          <w:p>
            <w:pPr>
              <w:jc w:val="left"/>
            </w:pPr>
            <w:r>
              <w:rPr>
                <w:color w:val="212529"/>
                <w:sz w:val="19"/>
              </w:rPr>
              <w:t>Document Title</w:t>
            </w:r>
          </w:p>
        </w:tc>
        <w:tc>
          <w:tcPr>
            <w:tcW w:type="dxa" w:w="6768"/>
            <w:shd w:fill="FFFFFF"/>
            <w:tcMar>
              <w:top w:w="100" w:type="dxa"/>
              <w:bottom w:w="100" w:type="dxa"/>
              <w:left w:w="140" w:type="dxa"/>
              <w:right w:w="140" w:type="dxa"/>
            </w:tcMar>
          </w:tcPr>
          <w:p>
            <w:pPr>
              <w:jc w:val="left"/>
            </w:pPr>
            <w:r>
              <w:rPr>
                <w:color w:val="212529"/>
                <w:sz w:val="19"/>
              </w:rPr>
              <w:t>AI Governance: Secure, Responsible and Productive Use of AI</w:t>
            </w:r>
          </w:p>
        </w:tc>
      </w:tr>
      <w:tr>
        <w:trPr>
          <w:cantSplit/>
        </w:trPr>
        <w:tc>
          <w:tcPr>
            <w:tcW w:type="dxa" w:w="3168"/>
            <w:shd w:fill="F4F6F8"/>
            <w:tcMar>
              <w:top w:w="100" w:type="dxa"/>
              <w:bottom w:w="100" w:type="dxa"/>
              <w:left w:w="140" w:type="dxa"/>
              <w:right w:w="140" w:type="dxa"/>
            </w:tcMar>
          </w:tcPr>
          <w:p>
            <w:pPr>
              <w:jc w:val="left"/>
            </w:pPr>
            <w:r>
              <w:rPr>
                <w:color w:val="212529"/>
                <w:sz w:val="19"/>
              </w:rPr>
              <w:t>Target Audience</w:t>
            </w:r>
          </w:p>
        </w:tc>
        <w:tc>
          <w:tcPr>
            <w:tcW w:type="dxa" w:w="6768"/>
            <w:shd w:fill="F4F6F8"/>
            <w:tcMar>
              <w:top w:w="100" w:type="dxa"/>
              <w:bottom w:w="100" w:type="dxa"/>
              <w:left w:w="140" w:type="dxa"/>
              <w:right w:w="140" w:type="dxa"/>
            </w:tcMar>
          </w:tcPr>
          <w:p>
            <w:pPr>
              <w:jc w:val="left"/>
            </w:pPr>
            <w:r>
              <w:rPr>
                <w:color w:val="212529"/>
                <w:sz w:val="19"/>
              </w:rPr>
              <w:t>Executives, Line-of-Business Managers, IT, Information Security, Privacy, Legal, Data Teams, Procurement, &amp; All Staff</w:t>
            </w:r>
          </w:p>
        </w:tc>
      </w:tr>
      <w:tr>
        <w:trPr>
          <w:cantSplit/>
        </w:trPr>
        <w:tc>
          <w:tcPr>
            <w:tcW w:type="dxa" w:w="3168"/>
            <w:shd w:fill="FFFFFF"/>
            <w:tcMar>
              <w:top w:w="100" w:type="dxa"/>
              <w:bottom w:w="100" w:type="dxa"/>
              <w:left w:w="140" w:type="dxa"/>
              <w:right w:w="140" w:type="dxa"/>
            </w:tcMar>
          </w:tcPr>
          <w:p>
            <w:pPr>
              <w:jc w:val="left"/>
            </w:pPr>
            <w:r>
              <w:rPr>
                <w:color w:val="212529"/>
                <w:sz w:val="19"/>
              </w:rPr>
              <w:t>Purpose &amp; Scope</w:t>
            </w:r>
          </w:p>
        </w:tc>
        <w:tc>
          <w:tcPr>
            <w:tcW w:type="dxa" w:w="6768"/>
            <w:shd w:fill="FFFFFF"/>
            <w:tcMar>
              <w:top w:w="100" w:type="dxa"/>
              <w:bottom w:w="100" w:type="dxa"/>
              <w:left w:w="140" w:type="dxa"/>
              <w:right w:w="140" w:type="dxa"/>
            </w:tcMar>
          </w:tcPr>
          <w:p>
            <w:pPr>
              <w:jc w:val="left"/>
            </w:pPr>
            <w:r>
              <w:rPr>
                <w:color w:val="212529"/>
                <w:sz w:val="19"/>
              </w:rPr>
              <w:t>Provide a comprehensive operational framework for maximizing enterprise AI value while enforcing data protection, compliance, and risk controls.</w:t>
            </w:r>
          </w:p>
        </w:tc>
      </w:tr>
      <w:tr>
        <w:trPr>
          <w:cantSplit/>
        </w:trPr>
        <w:tc>
          <w:tcPr>
            <w:tcW w:type="dxa" w:w="3168"/>
            <w:shd w:fill="F4F6F8"/>
            <w:tcMar>
              <w:top w:w="100" w:type="dxa"/>
              <w:bottom w:w="100" w:type="dxa"/>
              <w:left w:w="140" w:type="dxa"/>
              <w:right w:w="140" w:type="dxa"/>
            </w:tcMar>
          </w:tcPr>
          <w:p>
            <w:pPr>
              <w:jc w:val="left"/>
            </w:pPr>
            <w:r>
              <w:rPr>
                <w:color w:val="212529"/>
                <w:sz w:val="19"/>
              </w:rPr>
              <w:t>Document Version &amp; Status</w:t>
            </w:r>
          </w:p>
        </w:tc>
        <w:tc>
          <w:tcPr>
            <w:tcW w:type="dxa" w:w="6768"/>
            <w:shd w:fill="F4F6F8"/>
            <w:tcMar>
              <w:top w:w="100" w:type="dxa"/>
              <w:bottom w:w="100" w:type="dxa"/>
              <w:left w:w="140" w:type="dxa"/>
              <w:right w:w="140" w:type="dxa"/>
            </w:tcMar>
          </w:tcPr>
          <w:p>
            <w:pPr>
              <w:jc w:val="left"/>
            </w:pPr>
            <w:r>
              <w:rPr>
                <w:color w:val="212529"/>
                <w:sz w:val="19"/>
              </w:rPr>
              <w:t>Version 1.1 | Official Enterprise Policy &amp; Implementation Guide</w:t>
            </w:r>
          </w:p>
        </w:tc>
      </w:tr>
      <w:tr>
        <w:trPr>
          <w:cantSplit/>
        </w:trPr>
        <w:tc>
          <w:tcPr>
            <w:tcW w:type="dxa" w:w="3168"/>
            <w:shd w:fill="FFFFFF"/>
            <w:tcMar>
              <w:top w:w="100" w:type="dxa"/>
              <w:bottom w:w="100" w:type="dxa"/>
              <w:left w:w="140" w:type="dxa"/>
              <w:right w:w="140" w:type="dxa"/>
            </w:tcMar>
          </w:tcPr>
          <w:p>
            <w:pPr>
              <w:jc w:val="left"/>
            </w:pPr>
            <w:r>
              <w:rPr>
                <w:color w:val="212529"/>
                <w:sz w:val="19"/>
              </w:rPr>
              <w:t>Effective Date &amp; Review</w:t>
            </w:r>
          </w:p>
        </w:tc>
        <w:tc>
          <w:tcPr>
            <w:tcW w:type="dxa" w:w="6768"/>
            <w:shd w:fill="FFFFFF"/>
            <w:tcMar>
              <w:top w:w="100" w:type="dxa"/>
              <w:bottom w:w="100" w:type="dxa"/>
              <w:left w:w="140" w:type="dxa"/>
              <w:right w:w="140" w:type="dxa"/>
            </w:tcMar>
          </w:tcPr>
          <w:p>
            <w:pPr>
              <w:jc w:val="left"/>
            </w:pPr>
            <w:r>
              <w:rPr>
                <w:color w:val="212529"/>
                <w:sz w:val="19"/>
              </w:rPr>
              <w:t>September 2026 | Reviewed Quarterly &amp; Upon Major Regulatory/Technology Updates</w:t>
            </w:r>
          </w:p>
        </w:tc>
      </w:tr>
    </w:tbl>
    <w:p>
      <w:pPr>
        <w:spacing w:before="0" w:after="120"/>
      </w:pPr>
    </w:p>
    <w:p>
      <w:pPr>
        <w:keepNext/>
        <w:spacing w:before="360" w:after="120"/>
        <w:pBdr>
          <w:bottom w:val="single" w:sz="12" w:space="4" w:color="0B2545"/>
        </w:pBdr>
      </w:pPr>
      <w:r>
        <w:rPr>
          <w:rFonts w:ascii="Calibri Light" w:hAnsi="Calibri Light"/>
          <w:b/>
          <w:color w:val="0B2545"/>
          <w:sz w:val="32"/>
        </w:rPr>
        <w:t>Executive Summary</w:t>
      </w:r>
    </w:p>
    <w:p>
      <w:r>
        <w:t>Artificial Intelligence (AI) presents transformative potential for accelerating organizational productivity, elevating customer experiences, enhancing strategic analytical capabilities, and automating routine cross-functional workflows. However, unrestricted or unmonitored AI deployment introduces significant material risks—including non-public data exposure, hallucinated or unreliable outputs, algorithmic bias, regulatory non-compliance, and operational vulnerabilities stemming from unauthorized 'Shadow AI'.</w:t>
      </w:r>
    </w:p>
    <w:p>
      <w:r>
        <w:t>AI Governance acts as the essential operating system that enables safe and scalable innovation. By establishing a unified framework encompassing clear policies, formal accountability structures, robust security architectures, privacy controls, automated technical guardrails, and rigorous human oversight, this framework ensures that AI adoption yields measurable business value without compromising corporate trust, security, or regulatory integrity.</w:t>
      </w:r>
    </w:p>
    <w:p>
      <w:pPr>
        <w:keepNext/>
        <w:spacing w:before="360" w:after="120"/>
        <w:pBdr>
          <w:bottom w:val="single" w:sz="12" w:space="4" w:color="0B2545"/>
        </w:pBdr>
      </w:pPr>
      <w:r>
        <w:rPr>
          <w:rFonts w:ascii="Calibri Light" w:hAnsi="Calibri Light"/>
          <w:b/>
          <w:color w:val="0B2545"/>
          <w:sz w:val="32"/>
        </w:rPr>
        <w:t>Learning &amp; Operational Objectives</w:t>
      </w:r>
    </w:p>
    <w:p>
      <w:pPr>
        <w:pStyle w:val="ListBullet"/>
        <w:spacing w:after="80"/>
      </w:pPr>
      <w:r>
        <w:rPr>
          <w:b/>
          <w:color w:val="134074"/>
        </w:rPr>
        <w:t xml:space="preserve">Governance Architecture: </w:t>
      </w:r>
      <w:r>
        <w:t>Understand the organizational purpose, lifecycle stages, and operating model of enterprise AI governance.</w:t>
      </w:r>
    </w:p>
    <w:p>
      <w:pPr>
        <w:pStyle w:val="ListBullet"/>
        <w:spacing w:after="80"/>
      </w:pPr>
      <w:r>
        <w:rPr>
          <w:b/>
          <w:color w:val="134074"/>
        </w:rPr>
        <w:t xml:space="preserve">Value &amp; Risk Alignment: </w:t>
      </w:r>
      <w:r>
        <w:t>Identify high-value business use cases across operational domains and apply corresponding risk mitigation controls.</w:t>
      </w:r>
    </w:p>
    <w:p>
      <w:pPr>
        <w:pStyle w:val="ListBullet"/>
        <w:spacing w:after="80"/>
      </w:pPr>
      <w:r>
        <w:rPr>
          <w:b/>
          <w:color w:val="134074"/>
        </w:rPr>
        <w:t xml:space="preserve">Data Protection &amp; Privacy: </w:t>
      </w:r>
      <w:r>
        <w:t>Enforce strict data classification, redaction, and protection standards across all AI prompts and model interactions.</w:t>
      </w:r>
    </w:p>
    <w:p>
      <w:pPr>
        <w:pStyle w:val="ListBullet"/>
        <w:spacing w:after="80"/>
      </w:pPr>
      <w:r>
        <w:rPr>
          <w:b/>
          <w:color w:val="134074"/>
        </w:rPr>
        <w:t xml:space="preserve">Platform &amp; Tier Selection: </w:t>
      </w:r>
      <w:r>
        <w:t>Evaluate AI tooling and select appropriate enterprise subscription tiers offering necessary security and administrative oversight.</w:t>
      </w:r>
    </w:p>
    <w:p>
      <w:pPr>
        <w:pStyle w:val="ListBullet"/>
        <w:spacing w:after="80"/>
      </w:pPr>
      <w:r>
        <w:rPr>
          <w:b/>
          <w:color w:val="134074"/>
        </w:rPr>
        <w:t xml:space="preserve">Control Implementation: </w:t>
      </w:r>
      <w:r>
        <w:t>Deploy continuous monitoring, automated guardrails, identity controls, and comprehensive employee training programs.</w:t>
      </w:r>
    </w:p>
    <w:p>
      <w:pPr>
        <w:keepNext/>
        <w:spacing w:before="360" w:after="120"/>
        <w:pBdr>
          <w:bottom w:val="single" w:sz="12" w:space="4" w:color="0B2545"/>
        </w:pBdr>
      </w:pPr>
      <w:r>
        <w:rPr>
          <w:rFonts w:ascii="Calibri Light" w:hAnsi="Calibri Light"/>
          <w:b/>
          <w:color w:val="0B2545"/>
          <w:sz w:val="32"/>
        </w:rPr>
        <w:t>1. AI Governance Fundamentals</w:t>
      </w:r>
    </w:p>
    <w:p>
      <w:r>
        <w:t>AI Governance encompasses the formal structure of decisions, policies, operational workflows, and technical guardrails that govern how artificial intelligence systems are evaluated, procured, developed, deployed, monitored, and retired across their lifecycle. Rather than serving as an obstacle to technological innovation, effective governance provides the clear boundaries and risk clarity required to scale AI operations safely and confidently.</w:t>
      </w:r>
    </w:p>
    <w:p>
      <w:pPr>
        <w:keepNext/>
        <w:spacing w:before="280" w:after="80"/>
      </w:pPr>
      <w:r>
        <w:rPr>
          <w:rFonts w:ascii="Calibri" w:hAnsi="Calibri"/>
          <w:b/>
          <w:color w:val="134074"/>
          <w:sz w:val="26"/>
        </w:rPr>
        <w:t>Core Governance Principles</w:t>
      </w:r>
    </w:p>
    <w:p>
      <w:pPr>
        <w:pStyle w:val="ListBullet"/>
        <w:spacing w:after="80"/>
      </w:pPr>
      <w:r>
        <w:rPr>
          <w:b/>
        </w:rPr>
        <w:t xml:space="preserve">Accountability: </w:t>
      </w:r>
      <w:r>
        <w:t>Every AI asset, tool, and automated workflow must have a explicitly assigned Business Owner and Technical Owner responsible for performance, security, and outcomes.</w:t>
      </w:r>
    </w:p>
    <w:p>
      <w:pPr>
        <w:pStyle w:val="ListBullet"/>
        <w:spacing w:after="80"/>
      </w:pPr>
      <w:r>
        <w:rPr>
          <w:b/>
        </w:rPr>
        <w:t xml:space="preserve">Transparency &amp; Explainability: </w:t>
      </w:r>
      <w:r>
        <w:t>End users and stakeholders must clearly understand when AI systems are utilized, their specific capabilities and limits, and the mechanisms used to review outputs.</w:t>
      </w:r>
    </w:p>
    <w:p>
      <w:pPr>
        <w:pStyle w:val="ListBullet"/>
        <w:spacing w:after="80"/>
      </w:pPr>
      <w:r>
        <w:rPr>
          <w:b/>
        </w:rPr>
        <w:t xml:space="preserve">Privacy &amp; Security by Design: </w:t>
      </w:r>
      <w:r>
        <w:t>Data ingested into AI models must adhere to strict data minimization, proper classification, robust encryption, and role-based access control (RBAC).</w:t>
      </w:r>
    </w:p>
    <w:p>
      <w:pPr>
        <w:pStyle w:val="ListBullet"/>
        <w:spacing w:after="80"/>
      </w:pPr>
      <w:r>
        <w:rPr>
          <w:b/>
        </w:rPr>
        <w:t xml:space="preserve">Fairness, Non-Discrimination &amp; Safety: </w:t>
      </w:r>
      <w:r>
        <w:t>Algorithmic decision-making models must undergo systematic testing for bias, harmful failure modes, and unethical outcomes prior to deployment.</w:t>
      </w:r>
    </w:p>
    <w:p>
      <w:pPr>
        <w:pStyle w:val="ListBullet"/>
        <w:spacing w:after="80"/>
      </w:pPr>
      <w:r>
        <w:rPr>
          <w:b/>
        </w:rPr>
        <w:t xml:space="preserve">Human Oversight &amp; Control: </w:t>
      </w:r>
      <w:r>
        <w:t>Automated systems must maintain qualified human-in-the-loop (HITL) oversight, retaining ultimate decision authority over high-impact operational, legal, and financial actions.</w:t>
      </w:r>
    </w:p>
    <w:p>
      <w:pPr>
        <w:pStyle w:val="ListBullet"/>
        <w:spacing w:after="80"/>
      </w:pPr>
      <w:r>
        <w:rPr>
          <w:b/>
        </w:rPr>
        <w:t xml:space="preserve">Lifecycle Management: </w:t>
      </w:r>
      <w:r>
        <w:t>AI systems require continuous monitoring, periodic performance re-evaluation, drift detection, and structured retirement protocols.</w:t>
      </w:r>
    </w:p>
    <w:p>
      <w:pPr>
        <w:keepNext/>
        <w:spacing w:before="360" w:after="120"/>
        <w:pBdr>
          <w:bottom w:val="single" w:sz="12" w:space="4" w:color="0B2545"/>
        </w:pBdr>
      </w:pPr>
      <w:r>
        <w:rPr>
          <w:rFonts w:ascii="Calibri Light" w:hAnsi="Calibri Light"/>
          <w:b/>
          <w:color w:val="0B2545"/>
          <w:sz w:val="32"/>
        </w:rPr>
        <w:t>2. AI Value Matrix &amp; Risk Profile</w:t>
      </w:r>
    </w:p>
    <w:p>
      <w:r>
        <w:t>To maximize return on investment while mitigating exposure, the organization maps target business capabilities against their associated technical and operational risks, defining mandatory responses for each functional area.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312"/>
        <w:gridCol w:w="3312"/>
        <w:gridCol w:w="3312"/>
      </w:tblGrid>
      <w:tr>
        <w:trPr>
          <w:tblHeader/>
        </w:trPr>
        <w:tc>
          <w:tcPr>
            <w:tcW w:type="dxa" w:w="3168"/>
            <w:shd w:fill="0B2545"/>
            <w:tcMar>
              <w:top w:w="120" w:type="dxa"/>
              <w:bottom w:w="120" w:type="dxa"/>
              <w:left w:w="140" w:type="dxa"/>
              <w:right w:w="140" w:type="dxa"/>
            </w:tcMar>
          </w:tcPr>
          <w:p>
            <w:pPr>
              <w:jc w:val="left"/>
            </w:pPr>
            <w:r>
              <w:rPr>
                <w:b/>
                <w:color w:val="FFFFFF"/>
                <w:sz w:val="19"/>
              </w:rPr>
              <w:t>Business Opportunity &amp; Capabilities</w:t>
            </w:r>
          </w:p>
        </w:tc>
        <w:tc>
          <w:tcPr>
            <w:tcW w:type="dxa" w:w="3168"/>
            <w:shd w:fill="0B2545"/>
            <w:tcMar>
              <w:top w:w="120" w:type="dxa"/>
              <w:bottom w:w="120" w:type="dxa"/>
              <w:left w:w="140" w:type="dxa"/>
              <w:right w:w="140" w:type="dxa"/>
            </w:tcMar>
          </w:tcPr>
          <w:p>
            <w:pPr>
              <w:jc w:val="left"/>
            </w:pPr>
            <w:r>
              <w:rPr>
                <w:b/>
                <w:color w:val="FFFFFF"/>
                <w:sz w:val="19"/>
              </w:rPr>
              <w:t>Primary Risk Vectors</w:t>
            </w:r>
          </w:p>
        </w:tc>
        <w:tc>
          <w:tcPr>
            <w:tcW w:type="dxa" w:w="3600"/>
            <w:shd w:fill="0B2545"/>
            <w:tcMar>
              <w:top w:w="120" w:type="dxa"/>
              <w:bottom w:w="120" w:type="dxa"/>
              <w:left w:w="140" w:type="dxa"/>
              <w:right w:w="140" w:type="dxa"/>
            </w:tcMar>
          </w:tcPr>
          <w:p>
            <w:pPr>
              <w:jc w:val="left"/>
            </w:pPr>
            <w:r>
              <w:rPr>
                <w:b/>
                <w:color w:val="FFFFFF"/>
                <w:sz w:val="19"/>
              </w:rPr>
              <w:t>Mandatory Control Response</w:t>
            </w:r>
          </w:p>
        </w:tc>
      </w:tr>
      <w:tr>
        <w:trPr>
          <w:cantSplit/>
        </w:trPr>
        <w:tc>
          <w:tcPr>
            <w:tcW w:type="dxa" w:w="3168"/>
            <w:shd w:fill="FFFFFF"/>
            <w:tcMar>
              <w:top w:w="100" w:type="dxa"/>
              <w:bottom w:w="100" w:type="dxa"/>
              <w:left w:w="140" w:type="dxa"/>
              <w:right w:w="140" w:type="dxa"/>
            </w:tcMar>
          </w:tcPr>
          <w:p>
            <w:pPr>
              <w:jc w:val="left"/>
            </w:pPr>
            <w:r>
              <w:rPr>
                <w:color w:val="212529"/>
                <w:sz w:val="19"/>
              </w:rPr>
              <w:t>Productivity &amp; Knowledge Work:</w:t>
              <w:br/>
              <w:t>Drafting, summarizing, research, code generation, and workflow automation.</w:t>
            </w:r>
          </w:p>
        </w:tc>
        <w:tc>
          <w:tcPr>
            <w:tcW w:type="dxa" w:w="3168"/>
            <w:shd w:fill="FFFFFF"/>
            <w:tcMar>
              <w:top w:w="100" w:type="dxa"/>
              <w:bottom w:w="100" w:type="dxa"/>
              <w:left w:w="140" w:type="dxa"/>
              <w:right w:w="140" w:type="dxa"/>
            </w:tcMar>
          </w:tcPr>
          <w:p>
            <w:pPr>
              <w:jc w:val="left"/>
            </w:pPr>
            <w:r>
              <w:rPr>
                <w:color w:val="212529"/>
                <w:sz w:val="19"/>
              </w:rPr>
              <w:t>Inaccurate, fabricated, or hallucinated outputs treated as verified truth; intellectual property exposure.</w:t>
            </w:r>
          </w:p>
        </w:tc>
        <w:tc>
          <w:tcPr>
            <w:tcW w:type="dxa" w:w="3600"/>
            <w:shd w:fill="FFFFFF"/>
            <w:tcMar>
              <w:top w:w="100" w:type="dxa"/>
              <w:bottom w:w="100" w:type="dxa"/>
              <w:left w:w="140" w:type="dxa"/>
              <w:right w:w="140" w:type="dxa"/>
            </w:tcMar>
          </w:tcPr>
          <w:p>
            <w:pPr>
              <w:jc w:val="left"/>
            </w:pPr>
            <w:r>
              <w:rPr>
                <w:color w:val="212529"/>
                <w:sz w:val="19"/>
              </w:rPr>
              <w:t>Mandatory source verification, factual cross-checking, and mandatory human review before publishing/acting.</w:t>
            </w:r>
          </w:p>
        </w:tc>
      </w:tr>
      <w:tr>
        <w:trPr>
          <w:cantSplit/>
        </w:trPr>
        <w:tc>
          <w:tcPr>
            <w:tcW w:type="dxa" w:w="3168"/>
            <w:shd w:fill="F4F6F8"/>
            <w:tcMar>
              <w:top w:w="100" w:type="dxa"/>
              <w:bottom w:w="100" w:type="dxa"/>
              <w:left w:w="140" w:type="dxa"/>
              <w:right w:w="140" w:type="dxa"/>
            </w:tcMar>
          </w:tcPr>
          <w:p>
            <w:pPr>
              <w:jc w:val="left"/>
            </w:pPr>
            <w:r>
              <w:rPr>
                <w:color w:val="212529"/>
                <w:sz w:val="19"/>
              </w:rPr>
              <w:t>Marketing &amp; Revenue Generation:</w:t>
              <w:br/>
              <w:t>Hyper-personalization, lead scoring, campaign generation, and copy optimization.</w:t>
            </w:r>
          </w:p>
        </w:tc>
        <w:tc>
          <w:tcPr>
            <w:tcW w:type="dxa" w:w="3168"/>
            <w:shd w:fill="F4F6F8"/>
            <w:tcMar>
              <w:top w:w="100" w:type="dxa"/>
              <w:bottom w:w="100" w:type="dxa"/>
              <w:left w:w="140" w:type="dxa"/>
              <w:right w:w="140" w:type="dxa"/>
            </w:tcMar>
          </w:tcPr>
          <w:p>
            <w:pPr>
              <w:jc w:val="left"/>
            </w:pPr>
            <w:r>
              <w:rPr>
                <w:color w:val="212529"/>
                <w:sz w:val="19"/>
              </w:rPr>
              <w:t>Inadvertent leakage of customer PII, non-compliant messaging, and brand damage from unaligned copy.</w:t>
            </w:r>
          </w:p>
        </w:tc>
        <w:tc>
          <w:tcPr>
            <w:tcW w:type="dxa" w:w="3600"/>
            <w:shd w:fill="F4F6F8"/>
            <w:tcMar>
              <w:top w:w="100" w:type="dxa"/>
              <w:bottom w:w="100" w:type="dxa"/>
              <w:left w:w="140" w:type="dxa"/>
              <w:right w:w="140" w:type="dxa"/>
            </w:tcMar>
          </w:tcPr>
          <w:p>
            <w:pPr>
              <w:jc w:val="left"/>
            </w:pPr>
            <w:r>
              <w:rPr>
                <w:color w:val="212529"/>
                <w:sz w:val="19"/>
              </w:rPr>
              <w:t>Use approved enterprise platforms only; enforce minimum necessary data; integrate multi-tier marketing sign-off.</w:t>
            </w:r>
          </w:p>
        </w:tc>
      </w:tr>
      <w:tr>
        <w:trPr>
          <w:cantSplit/>
        </w:trPr>
        <w:tc>
          <w:tcPr>
            <w:tcW w:type="dxa" w:w="3168"/>
            <w:shd w:fill="FFFFFF"/>
            <w:tcMar>
              <w:top w:w="100" w:type="dxa"/>
              <w:bottom w:w="100" w:type="dxa"/>
              <w:left w:w="140" w:type="dxa"/>
              <w:right w:w="140" w:type="dxa"/>
            </w:tcMar>
          </w:tcPr>
          <w:p>
            <w:pPr>
              <w:jc w:val="left"/>
            </w:pPr>
            <w:r>
              <w:rPr>
                <w:color w:val="212529"/>
                <w:sz w:val="19"/>
              </w:rPr>
              <w:t>Advanced Analytics &amp; Decision Support:</w:t>
              <w:br/>
              <w:t>Trend forecasting, financial modeling, operational planning, and scenario analysis.</w:t>
            </w:r>
          </w:p>
        </w:tc>
        <w:tc>
          <w:tcPr>
            <w:tcW w:type="dxa" w:w="3168"/>
            <w:shd w:fill="FFFFFF"/>
            <w:tcMar>
              <w:top w:w="100" w:type="dxa"/>
              <w:bottom w:w="100" w:type="dxa"/>
              <w:left w:w="140" w:type="dxa"/>
              <w:right w:w="140" w:type="dxa"/>
            </w:tcMar>
          </w:tcPr>
          <w:p>
            <w:pPr>
              <w:jc w:val="left"/>
            </w:pPr>
            <w:r>
              <w:rPr>
                <w:color w:val="212529"/>
                <w:sz w:val="19"/>
              </w:rPr>
              <w:t>Model drift, biased training datasets, opaque underlying logic leading to flawed strategic guidance.</w:t>
            </w:r>
          </w:p>
        </w:tc>
        <w:tc>
          <w:tcPr>
            <w:tcW w:type="dxa" w:w="3600"/>
            <w:shd w:fill="FFFFFF"/>
            <w:tcMar>
              <w:top w:w="100" w:type="dxa"/>
              <w:bottom w:w="100" w:type="dxa"/>
              <w:left w:w="140" w:type="dxa"/>
              <w:right w:w="140" w:type="dxa"/>
            </w:tcMar>
          </w:tcPr>
          <w:p>
            <w:pPr>
              <w:jc w:val="left"/>
            </w:pPr>
            <w:r>
              <w:rPr>
                <w:color w:val="212529"/>
                <w:sz w:val="19"/>
              </w:rPr>
              <w:t>Rigorous data quality validation, baseline model testing, outcome audits, and ongoing drift monitoring.</w:t>
            </w:r>
          </w:p>
        </w:tc>
      </w:tr>
      <w:tr>
        <w:trPr>
          <w:cantSplit/>
        </w:trPr>
        <w:tc>
          <w:tcPr>
            <w:tcW w:type="dxa" w:w="3168"/>
            <w:shd w:fill="F4F6F8"/>
            <w:tcMar>
              <w:top w:w="100" w:type="dxa"/>
              <w:bottom w:w="100" w:type="dxa"/>
              <w:left w:w="140" w:type="dxa"/>
              <w:right w:w="140" w:type="dxa"/>
            </w:tcMar>
          </w:tcPr>
          <w:p>
            <w:pPr>
              <w:jc w:val="left"/>
            </w:pPr>
            <w:r>
              <w:rPr>
                <w:color w:val="212529"/>
                <w:sz w:val="19"/>
              </w:rPr>
              <w:t>Customer Operations &amp; Support:</w:t>
              <w:br/>
              <w:t>Virtual assistants, intelligent conversational agent systems, knowledge retrieval.</w:t>
            </w:r>
          </w:p>
        </w:tc>
        <w:tc>
          <w:tcPr>
            <w:tcW w:type="dxa" w:w="3168"/>
            <w:shd w:fill="F4F6F8"/>
            <w:tcMar>
              <w:top w:w="100" w:type="dxa"/>
              <w:bottom w:w="100" w:type="dxa"/>
              <w:left w:w="140" w:type="dxa"/>
              <w:right w:w="140" w:type="dxa"/>
            </w:tcMar>
          </w:tcPr>
          <w:p>
            <w:pPr>
              <w:jc w:val="left"/>
            </w:pPr>
            <w:r>
              <w:rPr>
                <w:color w:val="212529"/>
                <w:sz w:val="19"/>
              </w:rPr>
              <w:t>Prompt injection attacks, unauthorized data disclosures, inappropriate/unsafe responses, unauthorized transaction execution.</w:t>
            </w:r>
          </w:p>
        </w:tc>
        <w:tc>
          <w:tcPr>
            <w:tcW w:type="dxa" w:w="3600"/>
            <w:shd w:fill="F4F6F8"/>
            <w:tcMar>
              <w:top w:w="100" w:type="dxa"/>
              <w:bottom w:w="100" w:type="dxa"/>
              <w:left w:w="140" w:type="dxa"/>
              <w:right w:w="140" w:type="dxa"/>
            </w:tcMar>
          </w:tcPr>
          <w:p>
            <w:pPr>
              <w:jc w:val="left"/>
            </w:pPr>
            <w:r>
              <w:rPr>
                <w:color w:val="212529"/>
                <w:sz w:val="19"/>
              </w:rPr>
              <w:t>Apply strict input/output guardrails, identity-bound access control, full interaction logging, and immediate human escalation.</w:t>
            </w:r>
          </w:p>
        </w:tc>
      </w:tr>
      <w:tr>
        <w:trPr>
          <w:cantSplit/>
        </w:trPr>
        <w:tc>
          <w:tcPr>
            <w:tcW w:type="dxa" w:w="3168"/>
            <w:shd w:fill="FFFFFF"/>
            <w:tcMar>
              <w:top w:w="100" w:type="dxa"/>
              <w:bottom w:w="100" w:type="dxa"/>
              <w:left w:w="140" w:type="dxa"/>
              <w:right w:w="140" w:type="dxa"/>
            </w:tcMar>
          </w:tcPr>
          <w:p>
            <w:pPr>
              <w:jc w:val="left"/>
            </w:pPr>
            <w:r>
              <w:rPr>
                <w:color w:val="212529"/>
                <w:sz w:val="19"/>
              </w:rPr>
              <w:t>Autonomous AI Agents:</w:t>
              <w:br/>
              <w:t>Multi-step workflow execution, automated system interactions, tool manipulation.</w:t>
            </w:r>
          </w:p>
        </w:tc>
        <w:tc>
          <w:tcPr>
            <w:tcW w:type="dxa" w:w="3168"/>
            <w:shd w:fill="FFFFFF"/>
            <w:tcMar>
              <w:top w:w="100" w:type="dxa"/>
              <w:bottom w:w="100" w:type="dxa"/>
              <w:left w:w="140" w:type="dxa"/>
              <w:right w:w="140" w:type="dxa"/>
            </w:tcMar>
          </w:tcPr>
          <w:p>
            <w:pPr>
              <w:jc w:val="left"/>
            </w:pPr>
            <w:r>
              <w:rPr>
                <w:color w:val="212529"/>
                <w:sz w:val="19"/>
              </w:rPr>
              <w:t>Cascading autonomous errors, financial overruns, unintended system deletions, and compromised API actions.</w:t>
            </w:r>
          </w:p>
        </w:tc>
        <w:tc>
          <w:tcPr>
            <w:tcW w:type="dxa" w:w="3600"/>
            <w:shd w:fill="FFFFFF"/>
            <w:tcMar>
              <w:top w:w="100" w:type="dxa"/>
              <w:bottom w:w="100" w:type="dxa"/>
              <w:left w:w="140" w:type="dxa"/>
              <w:right w:w="140" w:type="dxa"/>
            </w:tcMar>
          </w:tcPr>
          <w:p>
            <w:pPr>
              <w:jc w:val="left"/>
            </w:pPr>
            <w:r>
              <w:rPr>
                <w:color w:val="212529"/>
                <w:sz w:val="19"/>
              </w:rPr>
              <w:t>Define strict execution boundary caps, required human approvals for high-value actions, rate limits, and rollback procedures.</w:t>
            </w:r>
          </w:p>
        </w:tc>
      </w:tr>
    </w:tbl>
    <w:p>
      <w:pPr>
        <w:spacing w:before="0" w:after="120"/>
      </w:pPr>
    </w:p>
    <w:p>
      <w:pPr>
        <w:keepNext/>
        <w:spacing w:before="360" w:after="120"/>
        <w:pBdr>
          <w:bottom w:val="single" w:sz="12" w:space="4" w:color="0B2545"/>
        </w:pBdr>
      </w:pPr>
      <w:r>
        <w:rPr>
          <w:rFonts w:ascii="Calibri Light" w:hAnsi="Calibri Light"/>
          <w:b/>
          <w:color w:val="0B2545"/>
          <w:sz w:val="32"/>
        </w:rPr>
        <w:t>3. AI Risk Classification Framework</w:t>
      </w:r>
    </w:p>
    <w:p>
      <w:r>
        <w:t>All proposed AI initiatives, tools, and integrations must undergo pre-deployment risk categorization. Risk ratings dictating approval paths escalate based on data sensitivity, impact on individuals, level of autonomy, and regulatory scope.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312"/>
        <w:gridCol w:w="3312"/>
        <w:gridCol w:w="3312"/>
      </w:tblGrid>
      <w:tr>
        <w:trPr>
          <w:tblHeader/>
        </w:trPr>
        <w:tc>
          <w:tcPr>
            <w:tcW w:type="dxa" w:w="1872"/>
            <w:shd w:fill="0B2545"/>
            <w:tcMar>
              <w:top w:w="120" w:type="dxa"/>
              <w:bottom w:w="120" w:type="dxa"/>
              <w:left w:w="140" w:type="dxa"/>
              <w:right w:w="140" w:type="dxa"/>
            </w:tcMar>
          </w:tcPr>
          <w:p>
            <w:pPr>
              <w:jc w:val="left"/>
            </w:pPr>
            <w:r>
              <w:rPr>
                <w:b/>
                <w:color w:val="FFFFFF"/>
                <w:sz w:val="19"/>
              </w:rPr>
              <w:t>Risk Tier</w:t>
            </w:r>
          </w:p>
        </w:tc>
        <w:tc>
          <w:tcPr>
            <w:tcW w:type="dxa" w:w="3888"/>
            <w:shd w:fill="0B2545"/>
            <w:tcMar>
              <w:top w:w="120" w:type="dxa"/>
              <w:bottom w:w="120" w:type="dxa"/>
              <w:left w:w="140" w:type="dxa"/>
              <w:right w:w="140" w:type="dxa"/>
            </w:tcMar>
          </w:tcPr>
          <w:p>
            <w:pPr>
              <w:jc w:val="left"/>
            </w:pPr>
            <w:r>
              <w:rPr>
                <w:b/>
                <w:color w:val="FFFFFF"/>
                <w:sz w:val="19"/>
              </w:rPr>
              <w:t>Representative Use Cases</w:t>
            </w:r>
          </w:p>
        </w:tc>
        <w:tc>
          <w:tcPr>
            <w:tcW w:type="dxa" w:w="4176"/>
            <w:shd w:fill="0B2545"/>
            <w:tcMar>
              <w:top w:w="120" w:type="dxa"/>
              <w:bottom w:w="120" w:type="dxa"/>
              <w:left w:w="140" w:type="dxa"/>
              <w:right w:w="140" w:type="dxa"/>
            </w:tcMar>
          </w:tcPr>
          <w:p>
            <w:pPr>
              <w:jc w:val="left"/>
            </w:pPr>
            <w:r>
              <w:rPr>
                <w:b/>
                <w:color w:val="FFFFFF"/>
                <w:sz w:val="19"/>
              </w:rPr>
              <w:t>Mandatory Governance Controls</w:t>
            </w:r>
          </w:p>
        </w:tc>
      </w:tr>
      <w:tr>
        <w:trPr>
          <w:cantSplit/>
        </w:trPr>
        <w:tc>
          <w:tcPr>
            <w:tcW w:type="dxa" w:w="1872"/>
            <w:shd w:fill="FFFFFF"/>
            <w:tcMar>
              <w:top w:w="100" w:type="dxa"/>
              <w:bottom w:w="100" w:type="dxa"/>
              <w:left w:w="140" w:type="dxa"/>
              <w:right w:w="140" w:type="dxa"/>
            </w:tcMar>
          </w:tcPr>
          <w:p>
            <w:pPr>
              <w:jc w:val="left"/>
            </w:pPr>
            <w:r>
              <w:rPr>
                <w:color w:val="212529"/>
                <w:sz w:val="19"/>
              </w:rPr>
              <w:t>Tier 1: Low Risk</w:t>
            </w:r>
          </w:p>
        </w:tc>
        <w:tc>
          <w:tcPr>
            <w:tcW w:type="dxa" w:w="3888"/>
            <w:shd w:fill="FFFFFF"/>
            <w:tcMar>
              <w:top w:w="100" w:type="dxa"/>
              <w:bottom w:w="100" w:type="dxa"/>
              <w:left w:w="140" w:type="dxa"/>
              <w:right w:w="140" w:type="dxa"/>
            </w:tcMar>
          </w:tcPr>
          <w:p>
            <w:pPr>
              <w:jc w:val="left"/>
            </w:pPr>
            <w:r>
              <w:rPr>
                <w:color w:val="212529"/>
                <w:sz w:val="19"/>
              </w:rPr>
              <w:t>Public content drafting, open brainstorming, code refactoring (non-proprietary), translation of public documentation.</w:t>
            </w:r>
          </w:p>
        </w:tc>
        <w:tc>
          <w:tcPr>
            <w:tcW w:type="dxa" w:w="4176"/>
            <w:shd w:fill="FFFFFF"/>
            <w:tcMar>
              <w:top w:w="100" w:type="dxa"/>
              <w:bottom w:w="100" w:type="dxa"/>
              <w:left w:w="140" w:type="dxa"/>
              <w:right w:w="140" w:type="dxa"/>
            </w:tcMar>
          </w:tcPr>
          <w:p>
            <w:pPr>
              <w:jc w:val="left"/>
            </w:pPr>
            <w:r>
              <w:rPr>
                <w:color w:val="212529"/>
                <w:sz w:val="19"/>
              </w:rPr>
              <w:t>Standard approved tool catalog; completion of basic AI literacy training; zero sensitive or customer data allowed.</w:t>
            </w:r>
          </w:p>
        </w:tc>
      </w:tr>
      <w:tr>
        <w:trPr>
          <w:cantSplit/>
        </w:trPr>
        <w:tc>
          <w:tcPr>
            <w:tcW w:type="dxa" w:w="1872"/>
            <w:shd w:fill="F4F6F8"/>
            <w:tcMar>
              <w:top w:w="100" w:type="dxa"/>
              <w:bottom w:w="100" w:type="dxa"/>
              <w:left w:w="140" w:type="dxa"/>
              <w:right w:w="140" w:type="dxa"/>
            </w:tcMar>
          </w:tcPr>
          <w:p>
            <w:pPr>
              <w:jc w:val="left"/>
            </w:pPr>
            <w:r>
              <w:rPr>
                <w:color w:val="212529"/>
                <w:sz w:val="19"/>
              </w:rPr>
              <w:t>Tier 2: Medium Risk</w:t>
            </w:r>
          </w:p>
        </w:tc>
        <w:tc>
          <w:tcPr>
            <w:tcW w:type="dxa" w:w="3888"/>
            <w:shd w:fill="F4F6F8"/>
            <w:tcMar>
              <w:top w:w="100" w:type="dxa"/>
              <w:bottom w:w="100" w:type="dxa"/>
              <w:left w:w="140" w:type="dxa"/>
              <w:right w:w="140" w:type="dxa"/>
            </w:tcMar>
          </w:tcPr>
          <w:p>
            <w:pPr>
              <w:jc w:val="left"/>
            </w:pPr>
            <w:r>
              <w:rPr>
                <w:color w:val="212529"/>
                <w:sz w:val="19"/>
              </w:rPr>
              <w:t>Internal knowledge base Q&amp;A, sales email drafting, internal documentation summarization, support agent assistance.</w:t>
            </w:r>
          </w:p>
        </w:tc>
        <w:tc>
          <w:tcPr>
            <w:tcW w:type="dxa" w:w="4176"/>
            <w:shd w:fill="F4F6F8"/>
            <w:tcMar>
              <w:top w:w="100" w:type="dxa"/>
              <w:bottom w:w="100" w:type="dxa"/>
              <w:left w:w="140" w:type="dxa"/>
              <w:right w:w="140" w:type="dxa"/>
            </w:tcMar>
          </w:tcPr>
          <w:p>
            <w:pPr>
              <w:jc w:val="left"/>
            </w:pPr>
            <w:r>
              <w:rPr>
                <w:color w:val="212529"/>
                <w:sz w:val="19"/>
              </w:rPr>
              <w:t>Enterprise plan required; Single Sign-On (SSO); restricted to internal/classified data; mandatory human output review; full audit logging.</w:t>
            </w:r>
          </w:p>
        </w:tc>
      </w:tr>
      <w:tr>
        <w:trPr>
          <w:cantSplit/>
        </w:trPr>
        <w:tc>
          <w:tcPr>
            <w:tcW w:type="dxa" w:w="1872"/>
            <w:shd w:fill="FFFFFF"/>
            <w:tcMar>
              <w:top w:w="100" w:type="dxa"/>
              <w:bottom w:w="100" w:type="dxa"/>
              <w:left w:w="140" w:type="dxa"/>
              <w:right w:w="140" w:type="dxa"/>
            </w:tcMar>
          </w:tcPr>
          <w:p>
            <w:pPr>
              <w:jc w:val="left"/>
            </w:pPr>
            <w:r>
              <w:rPr>
                <w:color w:val="212529"/>
                <w:sz w:val="19"/>
              </w:rPr>
              <w:t>Tier 3: High Risk</w:t>
            </w:r>
          </w:p>
        </w:tc>
        <w:tc>
          <w:tcPr>
            <w:tcW w:type="dxa" w:w="3888"/>
            <w:shd w:fill="FFFFFF"/>
            <w:tcMar>
              <w:top w:w="100" w:type="dxa"/>
              <w:bottom w:w="100" w:type="dxa"/>
              <w:left w:w="140" w:type="dxa"/>
              <w:right w:w="140" w:type="dxa"/>
            </w:tcMar>
          </w:tcPr>
          <w:p>
            <w:pPr>
              <w:jc w:val="left"/>
            </w:pPr>
            <w:r>
              <w:rPr>
                <w:color w:val="212529"/>
                <w:sz w:val="19"/>
              </w:rPr>
              <w:t>Employment screening/hiring, credit risk scoring, dynamic pricing, legal contract evaluation, clinical support, fraud detection.</w:t>
            </w:r>
          </w:p>
        </w:tc>
        <w:tc>
          <w:tcPr>
            <w:tcW w:type="dxa" w:w="4176"/>
            <w:shd w:fill="FFFFFF"/>
            <w:tcMar>
              <w:top w:w="100" w:type="dxa"/>
              <w:bottom w:w="100" w:type="dxa"/>
              <w:left w:w="140" w:type="dxa"/>
              <w:right w:w="140" w:type="dxa"/>
            </w:tcMar>
          </w:tcPr>
          <w:p>
            <w:pPr>
              <w:jc w:val="left"/>
            </w:pPr>
            <w:r>
              <w:rPr>
                <w:color w:val="212529"/>
                <w:sz w:val="19"/>
              </w:rPr>
              <w:t>Formal Risk &amp; Privacy Impact Assessment; Legal/InfoSec sign-off; mandatory Human-in-the-Loop oversight; algorithmic fairness testing; quarterly audits.</w:t>
            </w:r>
          </w:p>
        </w:tc>
      </w:tr>
      <w:tr>
        <w:trPr>
          <w:cantSplit/>
        </w:trPr>
        <w:tc>
          <w:tcPr>
            <w:tcW w:type="dxa" w:w="1872"/>
            <w:shd w:fill="F4F6F8"/>
            <w:tcMar>
              <w:top w:w="100" w:type="dxa"/>
              <w:bottom w:w="100" w:type="dxa"/>
              <w:left w:w="140" w:type="dxa"/>
              <w:right w:w="140" w:type="dxa"/>
            </w:tcMar>
          </w:tcPr>
          <w:p>
            <w:pPr>
              <w:jc w:val="left"/>
            </w:pPr>
            <w:r>
              <w:rPr>
                <w:color w:val="212529"/>
                <w:sz w:val="19"/>
              </w:rPr>
              <w:t>Tier 4: Restricted / Prohibited</w:t>
            </w:r>
          </w:p>
        </w:tc>
        <w:tc>
          <w:tcPr>
            <w:tcW w:type="dxa" w:w="3888"/>
            <w:shd w:fill="F4F6F8"/>
            <w:tcMar>
              <w:top w:w="100" w:type="dxa"/>
              <w:bottom w:w="100" w:type="dxa"/>
              <w:left w:w="140" w:type="dxa"/>
              <w:right w:w="140" w:type="dxa"/>
            </w:tcMar>
          </w:tcPr>
          <w:p>
            <w:pPr>
              <w:jc w:val="left"/>
            </w:pPr>
            <w:r>
              <w:rPr>
                <w:color w:val="212529"/>
                <w:sz w:val="19"/>
              </w:rPr>
              <w:t>Unlawful surveillance, manipulative behavioral nudging, fully autonomous high-impact financial/legal decisions without human checks.</w:t>
            </w:r>
          </w:p>
        </w:tc>
        <w:tc>
          <w:tcPr>
            <w:tcW w:type="dxa" w:w="4176"/>
            <w:shd w:fill="F4F6F8"/>
            <w:tcMar>
              <w:top w:w="100" w:type="dxa"/>
              <w:bottom w:w="100" w:type="dxa"/>
              <w:left w:w="140" w:type="dxa"/>
              <w:right w:w="140" w:type="dxa"/>
            </w:tcMar>
          </w:tcPr>
          <w:p>
            <w:pPr>
              <w:jc w:val="left"/>
            </w:pPr>
            <w:r>
              <w:rPr>
                <w:color w:val="212529"/>
                <w:sz w:val="19"/>
              </w:rPr>
              <w:t>STRICTLY PROHIBITED. Cannot be deployed without explicit, exceptional clearance from Executive Board, General Counsel, and Chief Risk Officer.</w:t>
            </w:r>
          </w:p>
        </w:tc>
      </w:tr>
    </w:tbl>
    <w:p>
      <w:pPr>
        <w:spacing w:before="0" w:after="120"/>
      </w:pPr>
    </w:p>
    <w:p>
      <w:pPr>
        <w:keepNext/>
        <w:spacing w:before="360" w:after="120"/>
        <w:pBdr>
          <w:bottom w:val="single" w:sz="12" w:space="4" w:color="0B2545"/>
        </w:pBdr>
      </w:pPr>
      <w:r>
        <w:rPr>
          <w:rFonts w:ascii="Calibri Light" w:hAnsi="Calibri Light"/>
          <w:b/>
          <w:color w:val="0B2545"/>
          <w:sz w:val="32"/>
        </w:rPr>
        <w:t>4. Secure AI Operating Model</w:t>
      </w:r>
    </w:p>
    <w:p>
      <w:r>
        <w:t>Effective governance relies on a RACI-aligned operating model defining clear roles and cross-functional responsibilities across the enterprise AI implementation lifecycle.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968"/>
        <w:gridCol w:w="4968"/>
      </w:tblGrid>
      <w:tr>
        <w:trPr>
          <w:tblHeader/>
        </w:trPr>
        <w:tc>
          <w:tcPr>
            <w:tcW w:type="dxa" w:w="3168"/>
            <w:shd w:fill="0B2545"/>
            <w:tcMar>
              <w:top w:w="120" w:type="dxa"/>
              <w:bottom w:w="120" w:type="dxa"/>
              <w:left w:w="140" w:type="dxa"/>
              <w:right w:w="140" w:type="dxa"/>
            </w:tcMar>
          </w:tcPr>
          <w:p>
            <w:pPr>
              <w:jc w:val="left"/>
            </w:pPr>
            <w:r>
              <w:rPr>
                <w:b/>
                <w:color w:val="FFFFFF"/>
                <w:sz w:val="19"/>
              </w:rPr>
              <w:t>Governance Role</w:t>
            </w:r>
          </w:p>
        </w:tc>
        <w:tc>
          <w:tcPr>
            <w:tcW w:type="dxa" w:w="6768"/>
            <w:shd w:fill="0B2545"/>
            <w:tcMar>
              <w:top w:w="120" w:type="dxa"/>
              <w:bottom w:w="120" w:type="dxa"/>
              <w:left w:w="140" w:type="dxa"/>
              <w:right w:w="140" w:type="dxa"/>
            </w:tcMar>
          </w:tcPr>
          <w:p>
            <w:pPr>
              <w:jc w:val="left"/>
            </w:pPr>
            <w:r>
              <w:rPr>
                <w:b/>
                <w:color w:val="FFFFFF"/>
                <w:sz w:val="19"/>
              </w:rPr>
              <w:t>Core Responsibilities &amp; Accountabilities</w:t>
            </w:r>
          </w:p>
        </w:tc>
      </w:tr>
      <w:tr>
        <w:trPr>
          <w:cantSplit/>
        </w:trPr>
        <w:tc>
          <w:tcPr>
            <w:tcW w:type="dxa" w:w="3168"/>
            <w:shd w:fill="FFFFFF"/>
            <w:tcMar>
              <w:top w:w="100" w:type="dxa"/>
              <w:bottom w:w="100" w:type="dxa"/>
              <w:left w:w="140" w:type="dxa"/>
              <w:right w:w="140" w:type="dxa"/>
            </w:tcMar>
          </w:tcPr>
          <w:p>
            <w:pPr>
              <w:jc w:val="left"/>
            </w:pPr>
            <w:r>
              <w:rPr>
                <w:color w:val="212529"/>
                <w:sz w:val="19"/>
              </w:rPr>
              <w:t>Executive Sponsor (C-Suite)</w:t>
            </w:r>
          </w:p>
        </w:tc>
        <w:tc>
          <w:tcPr>
            <w:tcW w:type="dxa" w:w="6768"/>
            <w:shd w:fill="FFFFFF"/>
            <w:tcMar>
              <w:top w:w="100" w:type="dxa"/>
              <w:bottom w:w="100" w:type="dxa"/>
              <w:left w:w="140" w:type="dxa"/>
              <w:right w:w="140" w:type="dxa"/>
            </w:tcMar>
          </w:tcPr>
          <w:p>
            <w:pPr>
              <w:jc w:val="left"/>
            </w:pPr>
            <w:r>
              <w:rPr>
                <w:color w:val="212529"/>
                <w:sz w:val="19"/>
              </w:rPr>
              <w:t>Defines overarching AI transformation strategy, allocates budget, and formally accepts residual enterprise risks.</w:t>
            </w:r>
          </w:p>
        </w:tc>
      </w:tr>
      <w:tr>
        <w:trPr>
          <w:cantSplit/>
        </w:trPr>
        <w:tc>
          <w:tcPr>
            <w:tcW w:type="dxa" w:w="3168"/>
            <w:shd w:fill="F4F6F8"/>
            <w:tcMar>
              <w:top w:w="100" w:type="dxa"/>
              <w:bottom w:w="100" w:type="dxa"/>
              <w:left w:w="140" w:type="dxa"/>
              <w:right w:w="140" w:type="dxa"/>
            </w:tcMar>
          </w:tcPr>
          <w:p>
            <w:pPr>
              <w:jc w:val="left"/>
            </w:pPr>
            <w:r>
              <w:rPr>
                <w:color w:val="212529"/>
                <w:sz w:val="19"/>
              </w:rPr>
              <w:t>AI Governance Lead</w:t>
            </w:r>
          </w:p>
        </w:tc>
        <w:tc>
          <w:tcPr>
            <w:tcW w:type="dxa" w:w="6768"/>
            <w:shd w:fill="F4F6F8"/>
            <w:tcMar>
              <w:top w:w="100" w:type="dxa"/>
              <w:bottom w:w="100" w:type="dxa"/>
              <w:left w:w="140" w:type="dxa"/>
              <w:right w:w="140" w:type="dxa"/>
            </w:tcMar>
          </w:tcPr>
          <w:p>
            <w:pPr>
              <w:jc w:val="left"/>
            </w:pPr>
            <w:r>
              <w:rPr>
                <w:color w:val="212529"/>
                <w:sz w:val="19"/>
              </w:rPr>
              <w:t>Maintains corporate AI policy, manages the central AI Asset Registry, coordinates risk intake reviews, and tracks compliance metrics.</w:t>
            </w:r>
          </w:p>
        </w:tc>
      </w:tr>
      <w:tr>
        <w:trPr>
          <w:cantSplit/>
        </w:trPr>
        <w:tc>
          <w:tcPr>
            <w:tcW w:type="dxa" w:w="3168"/>
            <w:shd w:fill="FFFFFF"/>
            <w:tcMar>
              <w:top w:w="100" w:type="dxa"/>
              <w:bottom w:w="100" w:type="dxa"/>
              <w:left w:w="140" w:type="dxa"/>
              <w:right w:w="140" w:type="dxa"/>
            </w:tcMar>
          </w:tcPr>
          <w:p>
            <w:pPr>
              <w:jc w:val="left"/>
            </w:pPr>
            <w:r>
              <w:rPr>
                <w:color w:val="212529"/>
                <w:sz w:val="19"/>
              </w:rPr>
              <w:t>Information Security Team</w:t>
            </w:r>
          </w:p>
        </w:tc>
        <w:tc>
          <w:tcPr>
            <w:tcW w:type="dxa" w:w="6768"/>
            <w:shd w:fill="FFFFFF"/>
            <w:tcMar>
              <w:top w:w="100" w:type="dxa"/>
              <w:bottom w:w="100" w:type="dxa"/>
              <w:left w:w="140" w:type="dxa"/>
              <w:right w:w="140" w:type="dxa"/>
            </w:tcMar>
          </w:tcPr>
          <w:p>
            <w:pPr>
              <w:jc w:val="left"/>
            </w:pPr>
            <w:r>
              <w:rPr>
                <w:color w:val="212529"/>
                <w:sz w:val="19"/>
              </w:rPr>
              <w:t>Establishes secure baseline architectures, configures identity/access boundaries, conducts threat modeling, and manages AI incident response.</w:t>
            </w:r>
          </w:p>
        </w:tc>
      </w:tr>
      <w:tr>
        <w:trPr>
          <w:cantSplit/>
        </w:trPr>
        <w:tc>
          <w:tcPr>
            <w:tcW w:type="dxa" w:w="3168"/>
            <w:shd w:fill="F4F6F8"/>
            <w:tcMar>
              <w:top w:w="100" w:type="dxa"/>
              <w:bottom w:w="100" w:type="dxa"/>
              <w:left w:w="140" w:type="dxa"/>
              <w:right w:w="140" w:type="dxa"/>
            </w:tcMar>
          </w:tcPr>
          <w:p>
            <w:pPr>
              <w:jc w:val="left"/>
            </w:pPr>
            <w:r>
              <w:rPr>
                <w:color w:val="212529"/>
                <w:sz w:val="19"/>
              </w:rPr>
              <w:t>Privacy &amp; Legal Team</w:t>
            </w:r>
          </w:p>
        </w:tc>
        <w:tc>
          <w:tcPr>
            <w:tcW w:type="dxa" w:w="6768"/>
            <w:shd w:fill="F4F6F8"/>
            <w:tcMar>
              <w:top w:w="100" w:type="dxa"/>
              <w:bottom w:w="100" w:type="dxa"/>
              <w:left w:w="140" w:type="dxa"/>
              <w:right w:w="140" w:type="dxa"/>
            </w:tcMar>
          </w:tcPr>
          <w:p>
            <w:pPr>
              <w:jc w:val="left"/>
            </w:pPr>
            <w:r>
              <w:rPr>
                <w:color w:val="212529"/>
                <w:sz w:val="19"/>
              </w:rPr>
              <w:t>Evaluates data protection compliance, drafts vendor contractual terms, reviews intellectual property implications, and monitors regulatory changes.</w:t>
            </w:r>
          </w:p>
        </w:tc>
      </w:tr>
      <w:tr>
        <w:trPr>
          <w:cantSplit/>
        </w:trPr>
        <w:tc>
          <w:tcPr>
            <w:tcW w:type="dxa" w:w="3168"/>
            <w:shd w:fill="FFFFFF"/>
            <w:tcMar>
              <w:top w:w="100" w:type="dxa"/>
              <w:bottom w:w="100" w:type="dxa"/>
              <w:left w:w="140" w:type="dxa"/>
              <w:right w:w="140" w:type="dxa"/>
            </w:tcMar>
          </w:tcPr>
          <w:p>
            <w:pPr>
              <w:jc w:val="left"/>
            </w:pPr>
            <w:r>
              <w:rPr>
                <w:color w:val="212529"/>
                <w:sz w:val="19"/>
              </w:rPr>
              <w:t>Data Governance Owner</w:t>
            </w:r>
          </w:p>
        </w:tc>
        <w:tc>
          <w:tcPr>
            <w:tcW w:type="dxa" w:w="6768"/>
            <w:shd w:fill="FFFFFF"/>
            <w:tcMar>
              <w:top w:w="100" w:type="dxa"/>
              <w:bottom w:w="100" w:type="dxa"/>
              <w:left w:w="140" w:type="dxa"/>
              <w:right w:w="140" w:type="dxa"/>
            </w:tcMar>
          </w:tcPr>
          <w:p>
            <w:pPr>
              <w:jc w:val="left"/>
            </w:pPr>
            <w:r>
              <w:rPr>
                <w:color w:val="212529"/>
                <w:sz w:val="19"/>
              </w:rPr>
              <w:t>Authorizes dataset usage, enforces data classification policies, ensures data hygiene, and monitors training data integrity.</w:t>
            </w:r>
          </w:p>
        </w:tc>
      </w:tr>
      <w:tr>
        <w:trPr>
          <w:cantSplit/>
        </w:trPr>
        <w:tc>
          <w:tcPr>
            <w:tcW w:type="dxa" w:w="3168"/>
            <w:shd w:fill="F4F6F8"/>
            <w:tcMar>
              <w:top w:w="100" w:type="dxa"/>
              <w:bottom w:w="100" w:type="dxa"/>
              <w:left w:w="140" w:type="dxa"/>
              <w:right w:w="140" w:type="dxa"/>
            </w:tcMar>
          </w:tcPr>
          <w:p>
            <w:pPr>
              <w:jc w:val="left"/>
            </w:pPr>
            <w:r>
              <w:rPr>
                <w:color w:val="212529"/>
                <w:sz w:val="19"/>
              </w:rPr>
              <w:t>Business Line Owner</w:t>
            </w:r>
          </w:p>
        </w:tc>
        <w:tc>
          <w:tcPr>
            <w:tcW w:type="dxa" w:w="6768"/>
            <w:shd w:fill="F4F6F8"/>
            <w:tcMar>
              <w:top w:w="100" w:type="dxa"/>
              <w:bottom w:w="100" w:type="dxa"/>
              <w:left w:w="140" w:type="dxa"/>
              <w:right w:w="140" w:type="dxa"/>
            </w:tcMar>
          </w:tcPr>
          <w:p>
            <w:pPr>
              <w:jc w:val="left"/>
            </w:pPr>
            <w:r>
              <w:rPr>
                <w:color w:val="212529"/>
                <w:sz w:val="19"/>
              </w:rPr>
              <w:t>Identifies operational use cases, measures business value/ROI, enforces daily human oversight, and maintains operational accountability.</w:t>
            </w:r>
          </w:p>
        </w:tc>
      </w:tr>
      <w:tr>
        <w:trPr>
          <w:cantSplit/>
        </w:trPr>
        <w:tc>
          <w:tcPr>
            <w:tcW w:type="dxa" w:w="3168"/>
            <w:shd w:fill="FFFFFF"/>
            <w:tcMar>
              <w:top w:w="100" w:type="dxa"/>
              <w:bottom w:w="100" w:type="dxa"/>
              <w:left w:w="140" w:type="dxa"/>
              <w:right w:w="140" w:type="dxa"/>
            </w:tcMar>
          </w:tcPr>
          <w:p>
            <w:pPr>
              <w:jc w:val="left"/>
            </w:pPr>
            <w:r>
              <w:rPr>
                <w:color w:val="212529"/>
                <w:sz w:val="19"/>
              </w:rPr>
              <w:t>End User / Employee</w:t>
            </w:r>
          </w:p>
        </w:tc>
        <w:tc>
          <w:tcPr>
            <w:tcW w:type="dxa" w:w="6768"/>
            <w:shd w:fill="FFFFFF"/>
            <w:tcMar>
              <w:top w:w="100" w:type="dxa"/>
              <w:bottom w:w="100" w:type="dxa"/>
              <w:left w:w="140" w:type="dxa"/>
              <w:right w:w="140" w:type="dxa"/>
            </w:tcMar>
          </w:tcPr>
          <w:p>
            <w:pPr>
              <w:jc w:val="left"/>
            </w:pPr>
            <w:r>
              <w:rPr>
                <w:color w:val="212529"/>
                <w:sz w:val="19"/>
              </w:rPr>
              <w:t>Adheres to acceptable use guidelines, utilizes approved tools only, verifies outputs prior to utilization, and immediately reports anomalies.</w:t>
            </w:r>
          </w:p>
        </w:tc>
      </w:tr>
    </w:tbl>
    <w:p>
      <w:pPr>
        <w:spacing w:before="0" w:after="120"/>
      </w:pPr>
    </w:p>
    <w:p>
      <w:pPr>
        <w:keepNext/>
        <w:spacing w:before="360" w:after="120"/>
        <w:pBdr>
          <w:bottom w:val="single" w:sz="12" w:space="4" w:color="0B2545"/>
        </w:pBdr>
      </w:pPr>
      <w:r>
        <w:rPr>
          <w:rFonts w:ascii="Calibri Light" w:hAnsi="Calibri Light"/>
          <w:b/>
          <w:color w:val="0B2545"/>
          <w:sz w:val="32"/>
        </w:rPr>
        <w:t>5. Data Protection &amp; Security Controls</w:t>
      </w:r>
    </w:p>
    <w:p>
      <w:r>
        <w:t>Data protection controls must be systematically embedded into every stage of the AI processing pipeline. The following baseline security practices are mandatory across all departments:</w:t>
      </w:r>
    </w:p>
    <w:p>
      <w:pPr>
        <w:pStyle w:val="ListBullet"/>
        <w:spacing w:after="80"/>
      </w:pPr>
      <w:r>
        <w:rPr>
          <w:b/>
          <w:color w:val="134074"/>
        </w:rPr>
        <w:t xml:space="preserve">Data Classification Mapping: </w:t>
      </w:r>
      <w:r>
        <w:t>Classify all incoming data assets into Public, Internal, Confidential, or Restricted/Regulated tiers prior to processing.</w:t>
      </w:r>
    </w:p>
    <w:p>
      <w:pPr>
        <w:pStyle w:val="ListBullet"/>
        <w:spacing w:after="80"/>
      </w:pPr>
      <w:r>
        <w:rPr>
          <w:b/>
          <w:color w:val="134074"/>
        </w:rPr>
        <w:t xml:space="preserve">Principle of Data Minimization: </w:t>
      </w:r>
      <w:r>
        <w:t>Extract and supply only the minimum data payload necessary to achieve the specific AI processing task.</w:t>
      </w:r>
    </w:p>
    <w:p>
      <w:pPr>
        <w:pStyle w:val="ListBullet"/>
        <w:spacing w:after="80"/>
      </w:pPr>
      <w:r>
        <w:rPr>
          <w:b/>
          <w:color w:val="134074"/>
        </w:rPr>
        <w:t xml:space="preserve">Strict Exclusion List: </w:t>
      </w:r>
      <w:r>
        <w:t>Prohibit the exposure of credentials, API keys, payment card data (PCI), government ID numbers, personal health information (PHI), or unredacted PII to unapproved models.</w:t>
      </w:r>
    </w:p>
    <w:p>
      <w:pPr>
        <w:pStyle w:val="ListBullet"/>
        <w:spacing w:after="80"/>
      </w:pPr>
      <w:r>
        <w:rPr>
          <w:b/>
          <w:color w:val="134074"/>
        </w:rPr>
        <w:t xml:space="preserve">Enterprise Commercial Agreements: </w:t>
      </w:r>
      <w:r>
        <w:t>Require contractual data protection terms guaranteeing that corporate data is not utilized for underlying model training by vendors.</w:t>
      </w:r>
    </w:p>
    <w:p>
      <w:pPr>
        <w:pStyle w:val="ListBullet"/>
        <w:spacing w:after="80"/>
      </w:pPr>
      <w:r>
        <w:rPr>
          <w:b/>
          <w:color w:val="134074"/>
        </w:rPr>
        <w:t xml:space="preserve">Identity &amp; Access Management: </w:t>
      </w:r>
      <w:r>
        <w:t>Enforce Single Sign-On (SSO), Multi-Factor Authentication (MFA), and automated SCIM provisioning tied to centralized identity providers.</w:t>
      </w:r>
    </w:p>
    <w:p>
      <w:pPr>
        <w:pStyle w:val="ListBullet"/>
        <w:spacing w:after="80"/>
      </w:pPr>
      <w:r>
        <w:rPr>
          <w:b/>
          <w:color w:val="134074"/>
        </w:rPr>
        <w:t xml:space="preserve">Encryption Protocols: </w:t>
      </w:r>
      <w:r>
        <w:t>Mandate end-to-end encryption in transit (TLS 1.3) and at rest (AES-256), evaluating Customer-Managed Encryption Keys (CMEK) for sensitive workloads.</w:t>
      </w:r>
    </w:p>
    <w:p>
      <w:pPr>
        <w:pStyle w:val="ListBullet"/>
        <w:spacing w:after="80"/>
      </w:pPr>
      <w:r>
        <w:rPr>
          <w:b/>
          <w:color w:val="134074"/>
        </w:rPr>
        <w:t xml:space="preserve">Data Loss Prevention (DLP): </w:t>
      </w:r>
      <w:r>
        <w:t>Implement automated DLP controls, real-time prompt redaction, and pseudonymization engines ahead of model ingress.</w:t>
      </w:r>
    </w:p>
    <w:p>
      <w:pPr>
        <w:pStyle w:val="ListBullet"/>
        <w:spacing w:after="80"/>
      </w:pPr>
      <w:r>
        <w:rPr>
          <w:b/>
          <w:color w:val="134074"/>
        </w:rPr>
        <w:t xml:space="preserve">Comprehensive Audit Logging: </w:t>
      </w:r>
      <w:r>
        <w:t>Maintain immutable records of user prompts, system responses, administrative access, and high-impact automated actions.</w:t>
      </w:r>
    </w:p>
    <w:tbl>
      <w:tblPr>
        <w:tblW w:type="auto" w:w="0"/>
        <w:jc w:val="center"/>
        <w:tblLook w:firstColumn="1" w:firstRow="1" w:lastColumn="0" w:lastRow="0" w:noHBand="0" w:noVBand="1" w:val="04A0"/>
      </w:tblPr>
      <w:tblGrid>
        <w:gridCol w:w="9936"/>
      </w:tblGrid>
      <w:tr>
        <w:tc>
          <w:tcPr>
            <w:tcW w:type="dxa" w:w="9936"/>
            <w:shd w:fill="EBF3F5"/>
            <w:tcMar>
              <w:top w:w="140" w:type="dxa"/>
              <w:bottom w:w="140" w:type="dxa"/>
              <w:left w:w="200" w:type="dxa"/>
              <w:right w:w="200" w:type="dxa"/>
            </w:tcMar>
            <w:tcBorders>
              <w:left w:val="single" w:sz="24" w:space="0" w:color="0B2545"/>
              <w:top w:val="none"/>
              <w:bottom w:val="none"/>
              <w:right w:val="none"/>
            </w:tcBorders>
          </w:tcPr>
          <w:p>
            <w:pPr>
              <w:spacing w:before="40" w:after="40" w:line="276" w:lineRule="auto"/>
            </w:pPr>
            <w:r>
              <w:rPr>
                <w:b/>
                <w:color w:val="0B2545"/>
              </w:rPr>
              <w:t xml:space="preserve">OPERATIONAL CASE STUDY: </w:t>
            </w:r>
            <w:r>
              <w:rPr>
                <w:i w:val="0"/>
                <w:color w:val="212529"/>
              </w:rPr>
              <w:t>Unsafe Practice: Copying an unredacted commercial customer contract into a free, consumer-grade AI web application to generate a legal summary.</w:t>
              <w:br/>
              <w:br/>
              <w:t>Compliant Practice: Ingesting the document within an enterprise-sanctioned Legal AI environment featuring contractual non-training commitments, automatic PII redaction, and restricted access limited strictly to assigned legal counsel.</w:t>
            </w:r>
          </w:p>
        </w:tc>
      </w:tr>
    </w:tbl>
    <w:p>
      <w:pPr>
        <w:spacing w:before="0" w:after="120"/>
      </w:pPr>
    </w:p>
    <w:p>
      <w:pPr>
        <w:keepNext/>
        <w:spacing w:before="360" w:after="120"/>
        <w:pBdr>
          <w:bottom w:val="single" w:sz="12" w:space="4" w:color="0B2545"/>
        </w:pBdr>
      </w:pPr>
      <w:r>
        <w:rPr>
          <w:rFonts w:ascii="Calibri Light" w:hAnsi="Calibri Light"/>
          <w:b/>
          <w:color w:val="0B2545"/>
          <w:sz w:val="32"/>
        </w:rPr>
        <w:t>6. Tooling Architecture &amp; Subscription Strategy</w:t>
      </w:r>
    </w:p>
    <w:p>
      <w:r>
        <w:t>A robust enterprise AI architecture integrates specialized tools across key operational layers—balancing core productivity platforms with dedicated governance, monitoring, and security software.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2484"/>
        <w:gridCol w:w="2484"/>
        <w:gridCol w:w="2484"/>
        <w:gridCol w:w="2484"/>
      </w:tblGrid>
      <w:tr>
        <w:trPr>
          <w:tblHeader/>
        </w:trPr>
        <w:tc>
          <w:tcPr>
            <w:tcW w:type="dxa" w:w="2160"/>
            <w:shd w:fill="0B2545"/>
            <w:tcMar>
              <w:top w:w="120" w:type="dxa"/>
              <w:bottom w:w="120" w:type="dxa"/>
              <w:left w:w="140" w:type="dxa"/>
              <w:right w:w="140" w:type="dxa"/>
            </w:tcMar>
          </w:tcPr>
          <w:p>
            <w:pPr>
              <w:jc w:val="left"/>
            </w:pPr>
            <w:r>
              <w:rPr>
                <w:b/>
                <w:color w:val="FFFFFF"/>
                <w:sz w:val="19"/>
              </w:rPr>
              <w:t>Category</w:t>
            </w:r>
          </w:p>
        </w:tc>
        <w:tc>
          <w:tcPr>
            <w:tcW w:type="dxa" w:w="2592"/>
            <w:shd w:fill="0B2545"/>
            <w:tcMar>
              <w:top w:w="120" w:type="dxa"/>
              <w:bottom w:w="120" w:type="dxa"/>
              <w:left w:w="140" w:type="dxa"/>
              <w:right w:w="140" w:type="dxa"/>
            </w:tcMar>
          </w:tcPr>
          <w:p>
            <w:pPr>
              <w:jc w:val="left"/>
            </w:pPr>
            <w:r>
              <w:rPr>
                <w:b/>
                <w:color w:val="FFFFFF"/>
                <w:sz w:val="19"/>
              </w:rPr>
              <w:t>Representative Platforms</w:t>
            </w:r>
          </w:p>
        </w:tc>
        <w:tc>
          <w:tcPr>
            <w:tcW w:type="dxa" w:w="2592"/>
            <w:shd w:fill="0B2545"/>
            <w:tcMar>
              <w:top w:w="120" w:type="dxa"/>
              <w:bottom w:w="120" w:type="dxa"/>
              <w:left w:w="140" w:type="dxa"/>
              <w:right w:w="140" w:type="dxa"/>
            </w:tcMar>
          </w:tcPr>
          <w:p>
            <w:pPr>
              <w:jc w:val="left"/>
            </w:pPr>
            <w:r>
              <w:rPr>
                <w:b/>
                <w:color w:val="FFFFFF"/>
                <w:sz w:val="19"/>
              </w:rPr>
              <w:t>Core Capabilities</w:t>
            </w:r>
          </w:p>
        </w:tc>
        <w:tc>
          <w:tcPr>
            <w:tcW w:type="dxa" w:w="2592"/>
            <w:shd w:fill="0B2545"/>
            <w:tcMar>
              <w:top w:w="120" w:type="dxa"/>
              <w:bottom w:w="120" w:type="dxa"/>
              <w:left w:w="140" w:type="dxa"/>
              <w:right w:w="140" w:type="dxa"/>
            </w:tcMar>
          </w:tcPr>
          <w:p>
            <w:pPr>
              <w:jc w:val="left"/>
            </w:pPr>
            <w:r>
              <w:rPr>
                <w:b/>
                <w:color w:val="FFFFFF"/>
                <w:sz w:val="19"/>
              </w:rPr>
              <w:t>Target Deployment Scenarios</w:t>
            </w:r>
          </w:p>
        </w:tc>
      </w:tr>
      <w:tr>
        <w:trPr>
          <w:cantSplit/>
        </w:trPr>
        <w:tc>
          <w:tcPr>
            <w:tcW w:type="dxa" w:w="2160"/>
            <w:shd w:fill="FFFFFF"/>
            <w:tcMar>
              <w:top w:w="100" w:type="dxa"/>
              <w:bottom w:w="100" w:type="dxa"/>
              <w:left w:w="140" w:type="dxa"/>
              <w:right w:w="140" w:type="dxa"/>
            </w:tcMar>
          </w:tcPr>
          <w:p>
            <w:pPr>
              <w:jc w:val="left"/>
            </w:pPr>
            <w:r>
              <w:rPr>
                <w:color w:val="212529"/>
                <w:sz w:val="19"/>
              </w:rPr>
              <w:t>Governance &amp; GRC</w:t>
            </w:r>
          </w:p>
        </w:tc>
        <w:tc>
          <w:tcPr>
            <w:tcW w:type="dxa" w:w="2592"/>
            <w:shd w:fill="FFFFFF"/>
            <w:tcMar>
              <w:top w:w="100" w:type="dxa"/>
              <w:bottom w:w="100" w:type="dxa"/>
              <w:left w:w="140" w:type="dxa"/>
              <w:right w:w="140" w:type="dxa"/>
            </w:tcMar>
          </w:tcPr>
          <w:p>
            <w:pPr>
              <w:jc w:val="left"/>
            </w:pPr>
            <w:r>
              <w:rPr>
                <w:color w:val="212529"/>
                <w:sz w:val="19"/>
              </w:rPr>
              <w:t>Credo AI, OneTrust AI Governance, IBM watsonx.governance</w:t>
            </w:r>
          </w:p>
        </w:tc>
        <w:tc>
          <w:tcPr>
            <w:tcW w:type="dxa" w:w="2592"/>
            <w:shd w:fill="FFFFFF"/>
            <w:tcMar>
              <w:top w:w="100" w:type="dxa"/>
              <w:bottom w:w="100" w:type="dxa"/>
              <w:left w:w="140" w:type="dxa"/>
              <w:right w:w="140" w:type="dxa"/>
            </w:tcMar>
          </w:tcPr>
          <w:p>
            <w:pPr>
              <w:jc w:val="left"/>
            </w:pPr>
            <w:r>
              <w:rPr>
                <w:color w:val="212529"/>
                <w:sz w:val="19"/>
              </w:rPr>
              <w:t>Central inventory, automated risk scoring, compliance mapping, audit trails.</w:t>
            </w:r>
          </w:p>
        </w:tc>
        <w:tc>
          <w:tcPr>
            <w:tcW w:type="dxa" w:w="2592"/>
            <w:shd w:fill="FFFFFF"/>
            <w:tcMar>
              <w:top w:w="100" w:type="dxa"/>
              <w:bottom w:w="100" w:type="dxa"/>
              <w:left w:w="140" w:type="dxa"/>
              <w:right w:w="140" w:type="dxa"/>
            </w:tcMar>
          </w:tcPr>
          <w:p>
            <w:pPr>
              <w:jc w:val="left"/>
            </w:pPr>
            <w:r>
              <w:rPr>
                <w:color w:val="212529"/>
                <w:sz w:val="19"/>
              </w:rPr>
              <w:t>Enterprise-wide compliance, high-risk systems, regulated environments.</w:t>
            </w:r>
          </w:p>
        </w:tc>
      </w:tr>
      <w:tr>
        <w:trPr>
          <w:cantSplit/>
        </w:trPr>
        <w:tc>
          <w:tcPr>
            <w:tcW w:type="dxa" w:w="2160"/>
            <w:shd w:fill="F4F6F8"/>
            <w:tcMar>
              <w:top w:w="100" w:type="dxa"/>
              <w:bottom w:w="100" w:type="dxa"/>
              <w:left w:w="140" w:type="dxa"/>
              <w:right w:w="140" w:type="dxa"/>
            </w:tcMar>
          </w:tcPr>
          <w:p>
            <w:pPr>
              <w:jc w:val="left"/>
            </w:pPr>
            <w:r>
              <w:rPr>
                <w:color w:val="212529"/>
                <w:sz w:val="19"/>
              </w:rPr>
              <w:t>Model Observability</w:t>
            </w:r>
          </w:p>
        </w:tc>
        <w:tc>
          <w:tcPr>
            <w:tcW w:type="dxa" w:w="2592"/>
            <w:shd w:fill="F4F6F8"/>
            <w:tcMar>
              <w:top w:w="100" w:type="dxa"/>
              <w:bottom w:w="100" w:type="dxa"/>
              <w:left w:w="140" w:type="dxa"/>
              <w:right w:w="140" w:type="dxa"/>
            </w:tcMar>
          </w:tcPr>
          <w:p>
            <w:pPr>
              <w:jc w:val="left"/>
            </w:pPr>
            <w:r>
              <w:rPr>
                <w:color w:val="212529"/>
                <w:sz w:val="19"/>
              </w:rPr>
              <w:t>Fiddler AI, Arize AI, WhyLabs</w:t>
            </w:r>
          </w:p>
        </w:tc>
        <w:tc>
          <w:tcPr>
            <w:tcW w:type="dxa" w:w="2592"/>
            <w:shd w:fill="F4F6F8"/>
            <w:tcMar>
              <w:top w:w="100" w:type="dxa"/>
              <w:bottom w:w="100" w:type="dxa"/>
              <w:left w:w="140" w:type="dxa"/>
              <w:right w:w="140" w:type="dxa"/>
            </w:tcMar>
          </w:tcPr>
          <w:p>
            <w:pPr>
              <w:jc w:val="left"/>
            </w:pPr>
            <w:r>
              <w:rPr>
                <w:color w:val="212529"/>
                <w:sz w:val="19"/>
              </w:rPr>
              <w:t>Model performance tracking, drift detection, explainability, latency monitoring.</w:t>
            </w:r>
          </w:p>
        </w:tc>
        <w:tc>
          <w:tcPr>
            <w:tcW w:type="dxa" w:w="2592"/>
            <w:shd w:fill="F4F6F8"/>
            <w:tcMar>
              <w:top w:w="100" w:type="dxa"/>
              <w:bottom w:w="100" w:type="dxa"/>
              <w:left w:w="140" w:type="dxa"/>
              <w:right w:w="140" w:type="dxa"/>
            </w:tcMar>
          </w:tcPr>
          <w:p>
            <w:pPr>
              <w:jc w:val="left"/>
            </w:pPr>
            <w:r>
              <w:rPr>
                <w:color w:val="212529"/>
                <w:sz w:val="19"/>
              </w:rPr>
              <w:t>Custom ML pipelines, self-hosted LLMs, mission-critical production systems.</w:t>
            </w:r>
          </w:p>
        </w:tc>
      </w:tr>
      <w:tr>
        <w:trPr>
          <w:cantSplit/>
        </w:trPr>
        <w:tc>
          <w:tcPr>
            <w:tcW w:type="dxa" w:w="2160"/>
            <w:shd w:fill="FFFFFF"/>
            <w:tcMar>
              <w:top w:w="100" w:type="dxa"/>
              <w:bottom w:w="100" w:type="dxa"/>
              <w:left w:w="140" w:type="dxa"/>
              <w:right w:w="140" w:type="dxa"/>
            </w:tcMar>
          </w:tcPr>
          <w:p>
            <w:pPr>
              <w:jc w:val="left"/>
            </w:pPr>
            <w:r>
              <w:rPr>
                <w:color w:val="212529"/>
                <w:sz w:val="19"/>
              </w:rPr>
              <w:t>Runtime Guardrails</w:t>
            </w:r>
          </w:p>
        </w:tc>
        <w:tc>
          <w:tcPr>
            <w:tcW w:type="dxa" w:w="2592"/>
            <w:shd w:fill="FFFFFF"/>
            <w:tcMar>
              <w:top w:w="100" w:type="dxa"/>
              <w:bottom w:w="100" w:type="dxa"/>
              <w:left w:w="140" w:type="dxa"/>
              <w:right w:w="140" w:type="dxa"/>
            </w:tcMar>
          </w:tcPr>
          <w:p>
            <w:pPr>
              <w:jc w:val="left"/>
            </w:pPr>
            <w:r>
              <w:rPr>
                <w:color w:val="212529"/>
                <w:sz w:val="19"/>
              </w:rPr>
              <w:t>Lakera Guard, Guardrails AI, AWS Bedrock Guardrails</w:t>
            </w:r>
          </w:p>
        </w:tc>
        <w:tc>
          <w:tcPr>
            <w:tcW w:type="dxa" w:w="2592"/>
            <w:shd w:fill="FFFFFF"/>
            <w:tcMar>
              <w:top w:w="100" w:type="dxa"/>
              <w:bottom w:w="100" w:type="dxa"/>
              <w:left w:w="140" w:type="dxa"/>
              <w:right w:w="140" w:type="dxa"/>
            </w:tcMar>
          </w:tcPr>
          <w:p>
            <w:pPr>
              <w:jc w:val="left"/>
            </w:pPr>
            <w:r>
              <w:rPr>
                <w:color w:val="212529"/>
                <w:sz w:val="19"/>
              </w:rPr>
              <w:t>Real-time prompt injection blocking, PII filtering, toxic content detection.</w:t>
            </w:r>
          </w:p>
        </w:tc>
        <w:tc>
          <w:tcPr>
            <w:tcW w:type="dxa" w:w="2592"/>
            <w:shd w:fill="FFFFFF"/>
            <w:tcMar>
              <w:top w:w="100" w:type="dxa"/>
              <w:bottom w:w="100" w:type="dxa"/>
              <w:left w:w="140" w:type="dxa"/>
              <w:right w:w="140" w:type="dxa"/>
            </w:tcMar>
          </w:tcPr>
          <w:p>
            <w:pPr>
              <w:jc w:val="left"/>
            </w:pPr>
            <w:r>
              <w:rPr>
                <w:color w:val="212529"/>
                <w:sz w:val="19"/>
              </w:rPr>
              <w:t>Customer-facing chatbots, external RAG systems, autonomous AI agents.</w:t>
            </w:r>
          </w:p>
        </w:tc>
      </w:tr>
      <w:tr>
        <w:trPr>
          <w:cantSplit/>
        </w:trPr>
        <w:tc>
          <w:tcPr>
            <w:tcW w:type="dxa" w:w="2160"/>
            <w:shd w:fill="F4F6F8"/>
            <w:tcMar>
              <w:top w:w="100" w:type="dxa"/>
              <w:bottom w:w="100" w:type="dxa"/>
              <w:left w:w="140" w:type="dxa"/>
              <w:right w:w="140" w:type="dxa"/>
            </w:tcMar>
          </w:tcPr>
          <w:p>
            <w:pPr>
              <w:jc w:val="left"/>
            </w:pPr>
            <w:r>
              <w:rPr>
                <w:color w:val="212529"/>
                <w:sz w:val="19"/>
              </w:rPr>
              <w:t>Productivity Suites</w:t>
            </w:r>
          </w:p>
        </w:tc>
        <w:tc>
          <w:tcPr>
            <w:tcW w:type="dxa" w:w="2592"/>
            <w:shd w:fill="F4F6F8"/>
            <w:tcMar>
              <w:top w:w="100" w:type="dxa"/>
              <w:bottom w:w="100" w:type="dxa"/>
              <w:left w:w="140" w:type="dxa"/>
              <w:right w:w="140" w:type="dxa"/>
            </w:tcMar>
          </w:tcPr>
          <w:p>
            <w:pPr>
              <w:jc w:val="left"/>
            </w:pPr>
            <w:r>
              <w:rPr>
                <w:color w:val="212529"/>
                <w:sz w:val="19"/>
              </w:rPr>
              <w:t>Microsoft 365 Copilot, Gemini for Workspace, ChatGPT Enterprise</w:t>
            </w:r>
          </w:p>
        </w:tc>
        <w:tc>
          <w:tcPr>
            <w:tcW w:type="dxa" w:w="2592"/>
            <w:shd w:fill="F4F6F8"/>
            <w:tcMar>
              <w:top w:w="100" w:type="dxa"/>
              <w:bottom w:w="100" w:type="dxa"/>
              <w:left w:w="140" w:type="dxa"/>
              <w:right w:w="140" w:type="dxa"/>
            </w:tcMar>
          </w:tcPr>
          <w:p>
            <w:pPr>
              <w:jc w:val="left"/>
            </w:pPr>
            <w:r>
              <w:rPr>
                <w:color w:val="212529"/>
                <w:sz w:val="19"/>
              </w:rPr>
              <w:t>Enterprise drafting, document summarizing, email synthesis, enterprise search.</w:t>
            </w:r>
          </w:p>
        </w:tc>
        <w:tc>
          <w:tcPr>
            <w:tcW w:type="dxa" w:w="2592"/>
            <w:shd w:fill="F4F6F8"/>
            <w:tcMar>
              <w:top w:w="100" w:type="dxa"/>
              <w:bottom w:w="100" w:type="dxa"/>
              <w:left w:w="140" w:type="dxa"/>
              <w:right w:w="140" w:type="dxa"/>
            </w:tcMar>
          </w:tcPr>
          <w:p>
            <w:pPr>
              <w:jc w:val="left"/>
            </w:pPr>
            <w:r>
              <w:rPr>
                <w:color w:val="212529"/>
                <w:sz w:val="19"/>
              </w:rPr>
              <w:t>Organization-wide general productivity and collaborative knowledge work.</w:t>
            </w:r>
          </w:p>
        </w:tc>
      </w:tr>
      <w:tr>
        <w:trPr>
          <w:cantSplit/>
        </w:trPr>
        <w:tc>
          <w:tcPr>
            <w:tcW w:type="dxa" w:w="2160"/>
            <w:shd w:fill="FFFFFF"/>
            <w:tcMar>
              <w:top w:w="100" w:type="dxa"/>
              <w:bottom w:w="100" w:type="dxa"/>
              <w:left w:w="140" w:type="dxa"/>
              <w:right w:w="140" w:type="dxa"/>
            </w:tcMar>
          </w:tcPr>
          <w:p>
            <w:pPr>
              <w:jc w:val="left"/>
            </w:pPr>
            <w:r>
              <w:rPr>
                <w:color w:val="212529"/>
                <w:sz w:val="19"/>
              </w:rPr>
              <w:t>Enterprise CRM / Sales</w:t>
            </w:r>
          </w:p>
        </w:tc>
        <w:tc>
          <w:tcPr>
            <w:tcW w:type="dxa" w:w="2592"/>
            <w:shd w:fill="FFFFFF"/>
            <w:tcMar>
              <w:top w:w="100" w:type="dxa"/>
              <w:bottom w:w="100" w:type="dxa"/>
              <w:left w:w="140" w:type="dxa"/>
              <w:right w:w="140" w:type="dxa"/>
            </w:tcMar>
          </w:tcPr>
          <w:p>
            <w:pPr>
              <w:jc w:val="left"/>
            </w:pPr>
            <w:r>
              <w:rPr>
                <w:color w:val="212529"/>
                <w:sz w:val="19"/>
              </w:rPr>
              <w:t>Salesforce Einstein, HubSpot AI, Adobe Marketo</w:t>
            </w:r>
          </w:p>
        </w:tc>
        <w:tc>
          <w:tcPr>
            <w:tcW w:type="dxa" w:w="2592"/>
            <w:shd w:fill="FFFFFF"/>
            <w:tcMar>
              <w:top w:w="100" w:type="dxa"/>
              <w:bottom w:w="100" w:type="dxa"/>
              <w:left w:w="140" w:type="dxa"/>
              <w:right w:w="140" w:type="dxa"/>
            </w:tcMar>
          </w:tcPr>
          <w:p>
            <w:pPr>
              <w:jc w:val="left"/>
            </w:pPr>
            <w:r>
              <w:rPr>
                <w:color w:val="212529"/>
                <w:sz w:val="19"/>
              </w:rPr>
              <w:t>Predictive lead scoring, campaign generation, workflow triggers.</w:t>
            </w:r>
          </w:p>
        </w:tc>
        <w:tc>
          <w:tcPr>
            <w:tcW w:type="dxa" w:w="2592"/>
            <w:shd w:fill="FFFFFF"/>
            <w:tcMar>
              <w:top w:w="100" w:type="dxa"/>
              <w:bottom w:w="100" w:type="dxa"/>
              <w:left w:w="140" w:type="dxa"/>
              <w:right w:w="140" w:type="dxa"/>
            </w:tcMar>
          </w:tcPr>
          <w:p>
            <w:pPr>
              <w:jc w:val="left"/>
            </w:pPr>
            <w:r>
              <w:rPr>
                <w:color w:val="212529"/>
                <w:sz w:val="19"/>
              </w:rPr>
              <w:t>Sales, marketing operations, and customer success management.</w:t>
            </w:r>
          </w:p>
        </w:tc>
      </w:tr>
      <w:tr>
        <w:trPr>
          <w:cantSplit/>
        </w:trPr>
        <w:tc>
          <w:tcPr>
            <w:tcW w:type="dxa" w:w="2160"/>
            <w:shd w:fill="F4F6F8"/>
            <w:tcMar>
              <w:top w:w="100" w:type="dxa"/>
              <w:bottom w:w="100" w:type="dxa"/>
              <w:left w:w="140" w:type="dxa"/>
              <w:right w:w="140" w:type="dxa"/>
            </w:tcMar>
          </w:tcPr>
          <w:p>
            <w:pPr>
              <w:jc w:val="left"/>
            </w:pPr>
            <w:r>
              <w:rPr>
                <w:color w:val="212529"/>
                <w:sz w:val="19"/>
              </w:rPr>
              <w:t>Data Loss Protection</w:t>
            </w:r>
          </w:p>
        </w:tc>
        <w:tc>
          <w:tcPr>
            <w:tcW w:type="dxa" w:w="2592"/>
            <w:shd w:fill="F4F6F8"/>
            <w:tcMar>
              <w:top w:w="100" w:type="dxa"/>
              <w:bottom w:w="100" w:type="dxa"/>
              <w:left w:w="140" w:type="dxa"/>
              <w:right w:w="140" w:type="dxa"/>
            </w:tcMar>
          </w:tcPr>
          <w:p>
            <w:pPr>
              <w:jc w:val="left"/>
            </w:pPr>
            <w:r>
              <w:rPr>
                <w:color w:val="212529"/>
                <w:sz w:val="19"/>
              </w:rPr>
              <w:t>Microsoft Purview, Symantec DLP, Nightfall AI</w:t>
            </w:r>
          </w:p>
        </w:tc>
        <w:tc>
          <w:tcPr>
            <w:tcW w:type="dxa" w:w="2592"/>
            <w:shd w:fill="F4F6F8"/>
            <w:tcMar>
              <w:top w:w="100" w:type="dxa"/>
              <w:bottom w:w="100" w:type="dxa"/>
              <w:left w:w="140" w:type="dxa"/>
              <w:right w:w="140" w:type="dxa"/>
            </w:tcMar>
          </w:tcPr>
          <w:p>
            <w:pPr>
              <w:jc w:val="left"/>
            </w:pPr>
            <w:r>
              <w:rPr>
                <w:color w:val="212529"/>
                <w:sz w:val="19"/>
              </w:rPr>
              <w:t>Automated sensitivity labeling, inline prompt blocking, credential scanning.</w:t>
            </w:r>
          </w:p>
        </w:tc>
        <w:tc>
          <w:tcPr>
            <w:tcW w:type="dxa" w:w="2592"/>
            <w:shd w:fill="F4F6F8"/>
            <w:tcMar>
              <w:top w:w="100" w:type="dxa"/>
              <w:bottom w:w="100" w:type="dxa"/>
              <w:left w:w="140" w:type="dxa"/>
              <w:right w:w="140" w:type="dxa"/>
            </w:tcMar>
          </w:tcPr>
          <w:p>
            <w:pPr>
              <w:jc w:val="left"/>
            </w:pPr>
            <w:r>
              <w:rPr>
                <w:color w:val="212529"/>
                <w:sz w:val="19"/>
              </w:rPr>
              <w:t>Preventing unauthorized sensitive data egress across cloud/AI endpoints.</w:t>
            </w:r>
          </w:p>
        </w:tc>
      </w:tr>
    </w:tbl>
    <w:p>
      <w:pPr>
        <w:spacing w:before="0" w:after="120"/>
      </w:pPr>
    </w:p>
    <w:p>
      <w:pPr>
        <w:keepNext/>
        <w:spacing w:before="280" w:after="80"/>
      </w:pPr>
      <w:r>
        <w:rPr>
          <w:rFonts w:ascii="Calibri" w:hAnsi="Calibri"/>
          <w:b/>
          <w:color w:val="134074"/>
          <w:sz w:val="26"/>
        </w:rPr>
        <w:t>Subscription Tier Comparison &amp; Policy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2484"/>
        <w:gridCol w:w="2484"/>
        <w:gridCol w:w="2484"/>
        <w:gridCol w:w="2484"/>
      </w:tblGrid>
      <w:tr>
        <w:trPr>
          <w:tblHeader/>
        </w:trPr>
        <w:tc>
          <w:tcPr>
            <w:tcW w:type="dxa" w:w="1872"/>
            <w:shd w:fill="0B2545"/>
            <w:tcMar>
              <w:top w:w="120" w:type="dxa"/>
              <w:bottom w:w="120" w:type="dxa"/>
              <w:left w:w="140" w:type="dxa"/>
              <w:right w:w="140" w:type="dxa"/>
            </w:tcMar>
          </w:tcPr>
          <w:p>
            <w:pPr>
              <w:jc w:val="left"/>
            </w:pPr>
            <w:r>
              <w:rPr>
                <w:b/>
                <w:color w:val="FFFFFF"/>
                <w:sz w:val="19"/>
              </w:rPr>
              <w:t>Subscription Tier</w:t>
            </w:r>
          </w:p>
        </w:tc>
        <w:tc>
          <w:tcPr>
            <w:tcW w:type="dxa" w:w="2880"/>
            <w:shd w:fill="0B2545"/>
            <w:tcMar>
              <w:top w:w="120" w:type="dxa"/>
              <w:bottom w:w="120" w:type="dxa"/>
              <w:left w:w="140" w:type="dxa"/>
              <w:right w:w="140" w:type="dxa"/>
            </w:tcMar>
          </w:tcPr>
          <w:p>
            <w:pPr>
              <w:jc w:val="left"/>
            </w:pPr>
            <w:r>
              <w:rPr>
                <w:b/>
                <w:color w:val="FFFFFF"/>
                <w:sz w:val="19"/>
              </w:rPr>
              <w:t>Security &amp; Control Profile</w:t>
            </w:r>
          </w:p>
        </w:tc>
        <w:tc>
          <w:tcPr>
            <w:tcW w:type="dxa" w:w="2592"/>
            <w:shd w:fill="0B2545"/>
            <w:tcMar>
              <w:top w:w="120" w:type="dxa"/>
              <w:bottom w:w="120" w:type="dxa"/>
              <w:left w:w="140" w:type="dxa"/>
              <w:right w:w="140" w:type="dxa"/>
            </w:tcMar>
          </w:tcPr>
          <w:p>
            <w:pPr>
              <w:jc w:val="left"/>
            </w:pPr>
            <w:r>
              <w:rPr>
                <w:b/>
                <w:color w:val="FFFFFF"/>
                <w:sz w:val="19"/>
              </w:rPr>
              <w:t>Operational Limitations</w:t>
            </w:r>
          </w:p>
        </w:tc>
        <w:tc>
          <w:tcPr>
            <w:tcW w:type="dxa" w:w="2592"/>
            <w:shd w:fill="0B2545"/>
            <w:tcMar>
              <w:top w:w="120" w:type="dxa"/>
              <w:bottom w:w="120" w:type="dxa"/>
              <w:left w:w="140" w:type="dxa"/>
              <w:right w:w="140" w:type="dxa"/>
            </w:tcMar>
          </w:tcPr>
          <w:p>
            <w:pPr>
              <w:jc w:val="left"/>
            </w:pPr>
            <w:r>
              <w:rPr>
                <w:b/>
                <w:color w:val="FFFFFF"/>
                <w:sz w:val="19"/>
              </w:rPr>
              <w:t>Sanctioned Enterprise Scope</w:t>
            </w:r>
          </w:p>
        </w:tc>
      </w:tr>
      <w:tr>
        <w:trPr>
          <w:cantSplit/>
        </w:trPr>
        <w:tc>
          <w:tcPr>
            <w:tcW w:type="dxa" w:w="1872"/>
            <w:shd w:fill="FFFFFF"/>
            <w:tcMar>
              <w:top w:w="100" w:type="dxa"/>
              <w:bottom w:w="100" w:type="dxa"/>
              <w:left w:w="140" w:type="dxa"/>
              <w:right w:w="140" w:type="dxa"/>
            </w:tcMar>
          </w:tcPr>
          <w:p>
            <w:pPr>
              <w:jc w:val="left"/>
            </w:pPr>
            <w:r>
              <w:rPr>
                <w:color w:val="212529"/>
                <w:sz w:val="19"/>
              </w:rPr>
              <w:t>Free / Consumer Tiers</w:t>
            </w:r>
          </w:p>
        </w:tc>
        <w:tc>
          <w:tcPr>
            <w:tcW w:type="dxa" w:w="2880"/>
            <w:shd w:fill="FFFFFF"/>
            <w:tcMar>
              <w:top w:w="100" w:type="dxa"/>
              <w:bottom w:w="100" w:type="dxa"/>
              <w:left w:w="140" w:type="dxa"/>
              <w:right w:w="140" w:type="dxa"/>
            </w:tcMar>
          </w:tcPr>
          <w:p>
            <w:pPr>
              <w:jc w:val="left"/>
            </w:pPr>
            <w:r>
              <w:rPr>
                <w:color w:val="212529"/>
                <w:sz w:val="19"/>
              </w:rPr>
              <w:t>Minimal access controls; potential use of user data for public model training; no administrative oversight.</w:t>
            </w:r>
          </w:p>
        </w:tc>
        <w:tc>
          <w:tcPr>
            <w:tcW w:type="dxa" w:w="2592"/>
            <w:shd w:fill="FFFFFF"/>
            <w:tcMar>
              <w:top w:w="100" w:type="dxa"/>
              <w:bottom w:w="100" w:type="dxa"/>
              <w:left w:w="140" w:type="dxa"/>
              <w:right w:w="140" w:type="dxa"/>
            </w:tcMar>
          </w:tcPr>
          <w:p>
            <w:pPr>
              <w:jc w:val="left"/>
            </w:pPr>
            <w:r>
              <w:rPr>
                <w:color w:val="212529"/>
                <w:sz w:val="19"/>
              </w:rPr>
              <w:t>No SLA; zero audit logging; non-compliant with standard data privacy regulations.</w:t>
            </w:r>
          </w:p>
        </w:tc>
        <w:tc>
          <w:tcPr>
            <w:tcW w:type="dxa" w:w="2592"/>
            <w:shd w:fill="FFFFFF"/>
            <w:tcMar>
              <w:top w:w="100" w:type="dxa"/>
              <w:bottom w:w="100" w:type="dxa"/>
              <w:left w:w="140" w:type="dxa"/>
              <w:right w:w="140" w:type="dxa"/>
            </w:tcMar>
          </w:tcPr>
          <w:p>
            <w:pPr>
              <w:jc w:val="left"/>
            </w:pPr>
            <w:r>
              <w:rPr>
                <w:color w:val="212529"/>
                <w:sz w:val="19"/>
              </w:rPr>
              <w:t>STRICTLY RESTRICTED to public data research or non-sensitive, non-proprietary ideation.</w:t>
            </w:r>
          </w:p>
        </w:tc>
      </w:tr>
      <w:tr>
        <w:trPr>
          <w:cantSplit/>
        </w:trPr>
        <w:tc>
          <w:tcPr>
            <w:tcW w:type="dxa" w:w="1872"/>
            <w:shd w:fill="F4F6F8"/>
            <w:tcMar>
              <w:top w:w="100" w:type="dxa"/>
              <w:bottom w:w="100" w:type="dxa"/>
              <w:left w:w="140" w:type="dxa"/>
              <w:right w:w="140" w:type="dxa"/>
            </w:tcMar>
          </w:tcPr>
          <w:p>
            <w:pPr>
              <w:jc w:val="left"/>
            </w:pPr>
            <w:r>
              <w:rPr>
                <w:color w:val="212529"/>
                <w:sz w:val="19"/>
              </w:rPr>
              <w:t>Team / Business Tiers</w:t>
            </w:r>
          </w:p>
        </w:tc>
        <w:tc>
          <w:tcPr>
            <w:tcW w:type="dxa" w:w="2880"/>
            <w:shd w:fill="F4F6F8"/>
            <w:tcMar>
              <w:top w:w="100" w:type="dxa"/>
              <w:bottom w:w="100" w:type="dxa"/>
              <w:left w:w="140" w:type="dxa"/>
              <w:right w:w="140" w:type="dxa"/>
            </w:tcMar>
          </w:tcPr>
          <w:p>
            <w:pPr>
              <w:jc w:val="left"/>
            </w:pPr>
            <w:r>
              <w:rPr>
                <w:color w:val="212529"/>
                <w:sz w:val="19"/>
              </w:rPr>
              <w:t>Centralized billing; basic workspace sharing; standard data privacy commitments.</w:t>
            </w:r>
          </w:p>
        </w:tc>
        <w:tc>
          <w:tcPr>
            <w:tcW w:type="dxa" w:w="2592"/>
            <w:shd w:fill="F4F6F8"/>
            <w:tcMar>
              <w:top w:w="100" w:type="dxa"/>
              <w:bottom w:w="100" w:type="dxa"/>
              <w:left w:w="140" w:type="dxa"/>
              <w:right w:w="140" w:type="dxa"/>
            </w:tcMar>
          </w:tcPr>
          <w:p>
            <w:pPr>
              <w:jc w:val="left"/>
            </w:pPr>
            <w:r>
              <w:rPr>
                <w:color w:val="212529"/>
                <w:sz w:val="19"/>
              </w:rPr>
              <w:t>May lack granular role permissions, custom logging integrations, or data residency guarantees.</w:t>
            </w:r>
          </w:p>
        </w:tc>
        <w:tc>
          <w:tcPr>
            <w:tcW w:type="dxa" w:w="2592"/>
            <w:shd w:fill="F4F6F8"/>
            <w:tcMar>
              <w:top w:w="100" w:type="dxa"/>
              <w:bottom w:w="100" w:type="dxa"/>
              <w:left w:w="140" w:type="dxa"/>
              <w:right w:w="140" w:type="dxa"/>
            </w:tcMar>
          </w:tcPr>
          <w:p>
            <w:pPr>
              <w:jc w:val="left"/>
            </w:pPr>
            <w:r>
              <w:rPr>
                <w:color w:val="212529"/>
                <w:sz w:val="19"/>
              </w:rPr>
              <w:t>Departmental deployment for Low and Medium-risk internal use cases following InfoSec review.</w:t>
            </w:r>
          </w:p>
        </w:tc>
      </w:tr>
      <w:tr>
        <w:trPr>
          <w:cantSplit/>
        </w:trPr>
        <w:tc>
          <w:tcPr>
            <w:tcW w:type="dxa" w:w="1872"/>
            <w:shd w:fill="FFFFFF"/>
            <w:tcMar>
              <w:top w:w="100" w:type="dxa"/>
              <w:bottom w:w="100" w:type="dxa"/>
              <w:left w:w="140" w:type="dxa"/>
              <w:right w:w="140" w:type="dxa"/>
            </w:tcMar>
          </w:tcPr>
          <w:p>
            <w:pPr>
              <w:jc w:val="left"/>
            </w:pPr>
            <w:r>
              <w:rPr>
                <w:color w:val="212529"/>
                <w:sz w:val="19"/>
              </w:rPr>
              <w:t>Enterprise Tiers</w:t>
            </w:r>
          </w:p>
        </w:tc>
        <w:tc>
          <w:tcPr>
            <w:tcW w:type="dxa" w:w="2880"/>
            <w:shd w:fill="FFFFFF"/>
            <w:tcMar>
              <w:top w:w="100" w:type="dxa"/>
              <w:bottom w:w="100" w:type="dxa"/>
              <w:left w:w="140" w:type="dxa"/>
              <w:right w:w="140" w:type="dxa"/>
            </w:tcMar>
          </w:tcPr>
          <w:p>
            <w:pPr>
              <w:jc w:val="left"/>
            </w:pPr>
            <w:r>
              <w:rPr>
                <w:color w:val="212529"/>
                <w:sz w:val="19"/>
              </w:rPr>
              <w:t>Mandatory non-training commitments; SSO/SCIM integration; centralized admin console; robust logging; high SLAs.</w:t>
            </w:r>
          </w:p>
        </w:tc>
        <w:tc>
          <w:tcPr>
            <w:tcW w:type="dxa" w:w="2592"/>
            <w:shd w:fill="FFFFFF"/>
            <w:tcMar>
              <w:top w:w="100" w:type="dxa"/>
              <w:bottom w:w="100" w:type="dxa"/>
              <w:left w:w="140" w:type="dxa"/>
              <w:right w:w="140" w:type="dxa"/>
            </w:tcMar>
          </w:tcPr>
          <w:p>
            <w:pPr>
              <w:jc w:val="left"/>
            </w:pPr>
            <w:r>
              <w:rPr>
                <w:color w:val="212529"/>
                <w:sz w:val="19"/>
              </w:rPr>
              <w:t>Higher licensing costs; requires dedicated IT/Security configuration and administrative ownership.</w:t>
            </w:r>
          </w:p>
        </w:tc>
        <w:tc>
          <w:tcPr>
            <w:tcW w:type="dxa" w:w="2592"/>
            <w:shd w:fill="FFFFFF"/>
            <w:tcMar>
              <w:top w:w="100" w:type="dxa"/>
              <w:bottom w:w="100" w:type="dxa"/>
              <w:left w:w="140" w:type="dxa"/>
              <w:right w:w="140" w:type="dxa"/>
            </w:tcMar>
          </w:tcPr>
          <w:p>
            <w:pPr>
              <w:jc w:val="left"/>
            </w:pPr>
            <w:r>
              <w:rPr>
                <w:color w:val="212529"/>
                <w:sz w:val="19"/>
              </w:rPr>
              <w:t>Mandatory standard for company-wide deployment, processing confidential information, or customer data.</w:t>
            </w:r>
          </w:p>
        </w:tc>
      </w:tr>
      <w:tr>
        <w:trPr>
          <w:cantSplit/>
        </w:trPr>
        <w:tc>
          <w:tcPr>
            <w:tcW w:type="dxa" w:w="1872"/>
            <w:shd w:fill="F4F6F8"/>
            <w:tcMar>
              <w:top w:w="100" w:type="dxa"/>
              <w:bottom w:w="100" w:type="dxa"/>
              <w:left w:w="140" w:type="dxa"/>
              <w:right w:w="140" w:type="dxa"/>
            </w:tcMar>
          </w:tcPr>
          <w:p>
            <w:pPr>
              <w:jc w:val="left"/>
            </w:pPr>
            <w:r>
              <w:rPr>
                <w:color w:val="212529"/>
                <w:sz w:val="19"/>
              </w:rPr>
              <w:t>Governance &amp; Guardrail Platforms</w:t>
            </w:r>
          </w:p>
        </w:tc>
        <w:tc>
          <w:tcPr>
            <w:tcW w:type="dxa" w:w="2880"/>
            <w:shd w:fill="F4F6F8"/>
            <w:tcMar>
              <w:top w:w="100" w:type="dxa"/>
              <w:bottom w:w="100" w:type="dxa"/>
              <w:left w:w="140" w:type="dxa"/>
              <w:right w:w="140" w:type="dxa"/>
            </w:tcMar>
          </w:tcPr>
          <w:p>
            <w:pPr>
              <w:jc w:val="left"/>
            </w:pPr>
            <w:r>
              <w:rPr>
                <w:color w:val="212529"/>
                <w:sz w:val="19"/>
              </w:rPr>
              <w:t>Active runtime defense, centralized policy enforcement, complete audit trail generation, risk analytics.</w:t>
            </w:r>
          </w:p>
        </w:tc>
        <w:tc>
          <w:tcPr>
            <w:tcW w:type="dxa" w:w="2592"/>
            <w:shd w:fill="F4F6F8"/>
            <w:tcMar>
              <w:top w:w="100" w:type="dxa"/>
              <w:bottom w:w="100" w:type="dxa"/>
              <w:left w:w="140" w:type="dxa"/>
              <w:right w:w="140" w:type="dxa"/>
            </w:tcMar>
          </w:tcPr>
          <w:p>
            <w:pPr>
              <w:jc w:val="left"/>
            </w:pPr>
            <w:r>
              <w:rPr>
                <w:color w:val="212529"/>
                <w:sz w:val="19"/>
              </w:rPr>
              <w:t>Requires ongoing policy tuning and rule adjustments; does not substitute for fundamental security architecture.</w:t>
            </w:r>
          </w:p>
        </w:tc>
        <w:tc>
          <w:tcPr>
            <w:tcW w:type="dxa" w:w="2592"/>
            <w:shd w:fill="F4F6F8"/>
            <w:tcMar>
              <w:top w:w="100" w:type="dxa"/>
              <w:bottom w:w="100" w:type="dxa"/>
              <w:left w:w="140" w:type="dxa"/>
              <w:right w:w="140" w:type="dxa"/>
            </w:tcMar>
          </w:tcPr>
          <w:p>
            <w:pPr>
              <w:jc w:val="left"/>
            </w:pPr>
            <w:r>
              <w:rPr>
                <w:color w:val="212529"/>
                <w:sz w:val="19"/>
              </w:rPr>
              <w:t>Required integration for production customer-facing assistants, automated agents, and High-Risk workflows.</w:t>
            </w:r>
          </w:p>
        </w:tc>
      </w:tr>
    </w:tbl>
    <w:p>
      <w:pPr>
        <w:spacing w:before="0" w:after="120"/>
      </w:pPr>
    </w:p>
    <w:p>
      <w:pPr>
        <w:keepNext/>
        <w:spacing w:before="360" w:after="120"/>
        <w:pBdr>
          <w:bottom w:val="single" w:sz="12" w:space="4" w:color="0B2545"/>
        </w:pBdr>
      </w:pPr>
      <w:r>
        <w:rPr>
          <w:rFonts w:ascii="Calibri Light" w:hAnsi="Calibri Light"/>
          <w:b/>
          <w:color w:val="0B2545"/>
          <w:sz w:val="32"/>
        </w:rPr>
        <w:t>7. Implementation Roadmap &amp; Milestones</w:t>
      </w:r>
    </w:p>
    <w:p>
      <w:r>
        <w:t>Adoption of the AI Governance Framework follows a structured, phased approach designed to achieve quick operational wins while progressively building long-term risk controls.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312"/>
        <w:gridCol w:w="3312"/>
        <w:gridCol w:w="3312"/>
      </w:tblGrid>
      <w:tr>
        <w:trPr>
          <w:tblHeader/>
        </w:trPr>
        <w:tc>
          <w:tcPr>
            <w:tcW w:type="dxa" w:w="2160"/>
            <w:shd w:fill="0B2545"/>
            <w:tcMar>
              <w:top w:w="120" w:type="dxa"/>
              <w:bottom w:w="120" w:type="dxa"/>
              <w:left w:w="140" w:type="dxa"/>
              <w:right w:w="140" w:type="dxa"/>
            </w:tcMar>
          </w:tcPr>
          <w:p>
            <w:pPr>
              <w:jc w:val="left"/>
            </w:pPr>
            <w:r>
              <w:rPr>
                <w:b/>
                <w:color w:val="FFFFFF"/>
                <w:sz w:val="19"/>
              </w:rPr>
              <w:t>Phase &amp; Timeline</w:t>
            </w:r>
          </w:p>
        </w:tc>
        <w:tc>
          <w:tcPr>
            <w:tcW w:type="dxa" w:w="3888"/>
            <w:shd w:fill="0B2545"/>
            <w:tcMar>
              <w:top w:w="120" w:type="dxa"/>
              <w:bottom w:w="120" w:type="dxa"/>
              <w:left w:w="140" w:type="dxa"/>
              <w:right w:w="140" w:type="dxa"/>
            </w:tcMar>
          </w:tcPr>
          <w:p>
            <w:pPr>
              <w:jc w:val="left"/>
            </w:pPr>
            <w:r>
              <w:rPr>
                <w:b/>
                <w:color w:val="FFFFFF"/>
                <w:sz w:val="19"/>
              </w:rPr>
              <w:t>Key Implementation Deliverables</w:t>
            </w:r>
          </w:p>
        </w:tc>
        <w:tc>
          <w:tcPr>
            <w:tcW w:type="dxa" w:w="3888"/>
            <w:shd w:fill="0B2545"/>
            <w:tcMar>
              <w:top w:w="120" w:type="dxa"/>
              <w:bottom w:w="120" w:type="dxa"/>
              <w:left w:w="140" w:type="dxa"/>
              <w:right w:w="140" w:type="dxa"/>
            </w:tcMar>
          </w:tcPr>
          <w:p>
            <w:pPr>
              <w:jc w:val="left"/>
            </w:pPr>
            <w:r>
              <w:rPr>
                <w:b/>
                <w:color w:val="FFFFFF"/>
                <w:sz w:val="19"/>
              </w:rPr>
              <w:t>Target Outcomes &amp; Governance Milestones</w:t>
            </w:r>
          </w:p>
        </w:tc>
      </w:tr>
      <w:tr>
        <w:trPr>
          <w:cantSplit/>
        </w:trPr>
        <w:tc>
          <w:tcPr>
            <w:tcW w:type="dxa" w:w="2160"/>
            <w:shd w:fill="FFFFFF"/>
            <w:tcMar>
              <w:top w:w="100" w:type="dxa"/>
              <w:bottom w:w="100" w:type="dxa"/>
              <w:left w:w="140" w:type="dxa"/>
              <w:right w:w="140" w:type="dxa"/>
            </w:tcMar>
          </w:tcPr>
          <w:p>
            <w:pPr>
              <w:jc w:val="left"/>
            </w:pPr>
            <w:r>
              <w:rPr>
                <w:color w:val="212529"/>
                <w:sz w:val="19"/>
              </w:rPr>
              <w:t>Phase 1: Assess &amp; Foundation</w:t>
              <w:br/>
              <w:t>(Days 1–30)</w:t>
            </w:r>
          </w:p>
        </w:tc>
        <w:tc>
          <w:tcPr>
            <w:tcW w:type="dxa" w:w="3888"/>
            <w:shd w:fill="FFFFFF"/>
            <w:tcMar>
              <w:top w:w="100" w:type="dxa"/>
              <w:bottom w:w="100" w:type="dxa"/>
              <w:left w:w="140" w:type="dxa"/>
              <w:right w:w="140" w:type="dxa"/>
            </w:tcMar>
          </w:tcPr>
          <w:p>
            <w:pPr>
              <w:jc w:val="left"/>
            </w:pPr>
            <w:r>
              <w:rPr>
                <w:color w:val="212529"/>
                <w:sz w:val="19"/>
              </w:rPr>
              <w:t>• Appoint Executive Sponsor &amp; Governance Lead</w:t>
              <w:br/>
              <w:t>• Conduct initial Shadow AI assessment</w:t>
              <w:br/>
              <w:t>• Establish Central AI Asset Registry</w:t>
              <w:br/>
              <w:t>• Draft &amp; publish Acceptable Use Policy</w:t>
            </w:r>
          </w:p>
        </w:tc>
        <w:tc>
          <w:tcPr>
            <w:tcW w:type="dxa" w:w="3888"/>
            <w:shd w:fill="FFFFFF"/>
            <w:tcMar>
              <w:top w:w="100" w:type="dxa"/>
              <w:bottom w:w="100" w:type="dxa"/>
              <w:left w:w="140" w:type="dxa"/>
              <w:right w:w="140" w:type="dxa"/>
            </w:tcMar>
          </w:tcPr>
          <w:p>
            <w:pPr>
              <w:jc w:val="left"/>
            </w:pPr>
            <w:r>
              <w:rPr>
                <w:color w:val="212529"/>
                <w:sz w:val="19"/>
              </w:rPr>
              <w:t>Complete visibility into current enterprise usage; formal policy baseline communicated to all staff.</w:t>
            </w:r>
          </w:p>
        </w:tc>
      </w:tr>
      <w:tr>
        <w:trPr>
          <w:cantSplit/>
        </w:trPr>
        <w:tc>
          <w:tcPr>
            <w:tcW w:type="dxa" w:w="2160"/>
            <w:shd w:fill="F4F6F8"/>
            <w:tcMar>
              <w:top w:w="100" w:type="dxa"/>
              <w:bottom w:w="100" w:type="dxa"/>
              <w:left w:w="140" w:type="dxa"/>
              <w:right w:w="140" w:type="dxa"/>
            </w:tcMar>
          </w:tcPr>
          <w:p>
            <w:pPr>
              <w:jc w:val="left"/>
            </w:pPr>
            <w:r>
              <w:rPr>
                <w:color w:val="212529"/>
                <w:sz w:val="19"/>
              </w:rPr>
              <w:t>Phase 2: Controls &amp; Architecture</w:t>
              <w:br/>
              <w:t>(Days 31–60)</w:t>
            </w:r>
          </w:p>
        </w:tc>
        <w:tc>
          <w:tcPr>
            <w:tcW w:type="dxa" w:w="3888"/>
            <w:shd w:fill="F4F6F8"/>
            <w:tcMar>
              <w:top w:w="100" w:type="dxa"/>
              <w:bottom w:w="100" w:type="dxa"/>
              <w:left w:w="140" w:type="dxa"/>
              <w:right w:w="140" w:type="dxa"/>
            </w:tcMar>
          </w:tcPr>
          <w:p>
            <w:pPr>
              <w:jc w:val="left"/>
            </w:pPr>
            <w:r>
              <w:rPr>
                <w:color w:val="212529"/>
                <w:sz w:val="19"/>
              </w:rPr>
              <w:t>• Define Approved Tool Catalog</w:t>
              <w:br/>
              <w:t>• Complete vendor risk assessments</w:t>
              <w:br/>
              <w:t>• Configure SSO/MFA/SCIM integrations</w:t>
              <w:br/>
              <w:t>• Pilot Enterprise Tiers in selected teams</w:t>
            </w:r>
          </w:p>
        </w:tc>
        <w:tc>
          <w:tcPr>
            <w:tcW w:type="dxa" w:w="3888"/>
            <w:shd w:fill="F4F6F8"/>
            <w:tcMar>
              <w:top w:w="100" w:type="dxa"/>
              <w:bottom w:w="100" w:type="dxa"/>
              <w:left w:w="140" w:type="dxa"/>
              <w:right w:w="140" w:type="dxa"/>
            </w:tcMar>
          </w:tcPr>
          <w:p>
            <w:pPr>
              <w:jc w:val="left"/>
            </w:pPr>
            <w:r>
              <w:rPr>
                <w:color w:val="212529"/>
                <w:sz w:val="19"/>
              </w:rPr>
              <w:t>Secure baseline operational infrastructure established; high-risk tools restricted; initial pilots authorized.</w:t>
            </w:r>
          </w:p>
        </w:tc>
      </w:tr>
      <w:tr>
        <w:trPr>
          <w:cantSplit/>
        </w:trPr>
        <w:tc>
          <w:tcPr>
            <w:tcW w:type="dxa" w:w="2160"/>
            <w:shd w:fill="FFFFFF"/>
            <w:tcMar>
              <w:top w:w="100" w:type="dxa"/>
              <w:bottom w:w="100" w:type="dxa"/>
              <w:left w:w="140" w:type="dxa"/>
              <w:right w:w="140" w:type="dxa"/>
            </w:tcMar>
          </w:tcPr>
          <w:p>
            <w:pPr>
              <w:jc w:val="left"/>
            </w:pPr>
            <w:r>
              <w:rPr>
                <w:color w:val="212529"/>
                <w:sz w:val="19"/>
              </w:rPr>
              <w:t>Phase 3: Deployment &amp; Scale</w:t>
              <w:br/>
              <w:t>(Days 61–90)</w:t>
            </w:r>
          </w:p>
        </w:tc>
        <w:tc>
          <w:tcPr>
            <w:tcW w:type="dxa" w:w="3888"/>
            <w:shd w:fill="FFFFFF"/>
            <w:tcMar>
              <w:top w:w="100" w:type="dxa"/>
              <w:bottom w:w="100" w:type="dxa"/>
              <w:left w:w="140" w:type="dxa"/>
              <w:right w:w="140" w:type="dxa"/>
            </w:tcMar>
          </w:tcPr>
          <w:p>
            <w:pPr>
              <w:jc w:val="left"/>
            </w:pPr>
            <w:r>
              <w:rPr>
                <w:color w:val="212529"/>
                <w:sz w:val="19"/>
              </w:rPr>
              <w:t>• Roll out mandatory company-wide training</w:t>
              <w:br/>
              <w:t>• Deploy DLP &amp; runtime prompt guardrails</w:t>
              <w:br/>
              <w:t>• Establish automated audit logging dashboards</w:t>
              <w:br/>
              <w:t>• Formally launch AI Incident Response Plan</w:t>
            </w:r>
          </w:p>
        </w:tc>
        <w:tc>
          <w:tcPr>
            <w:tcW w:type="dxa" w:w="3888"/>
            <w:shd w:fill="FFFFFF"/>
            <w:tcMar>
              <w:top w:w="100" w:type="dxa"/>
              <w:bottom w:w="100" w:type="dxa"/>
              <w:left w:w="140" w:type="dxa"/>
              <w:right w:w="140" w:type="dxa"/>
            </w:tcMar>
          </w:tcPr>
          <w:p>
            <w:pPr>
              <w:jc w:val="left"/>
            </w:pPr>
            <w:r>
              <w:rPr>
                <w:color w:val="212529"/>
                <w:sz w:val="19"/>
              </w:rPr>
              <w:t>Controlled enterprise-wide rollout; real-time threat monitoring active; automated logging operational.</w:t>
            </w:r>
          </w:p>
        </w:tc>
      </w:tr>
      <w:tr>
        <w:trPr>
          <w:cantSplit/>
        </w:trPr>
        <w:tc>
          <w:tcPr>
            <w:tcW w:type="dxa" w:w="2160"/>
            <w:shd w:fill="F4F6F8"/>
            <w:tcMar>
              <w:top w:w="100" w:type="dxa"/>
              <w:bottom w:w="100" w:type="dxa"/>
              <w:left w:w="140" w:type="dxa"/>
              <w:right w:w="140" w:type="dxa"/>
            </w:tcMar>
          </w:tcPr>
          <w:p>
            <w:pPr>
              <w:jc w:val="left"/>
            </w:pPr>
            <w:r>
              <w:rPr>
                <w:color w:val="212529"/>
                <w:sz w:val="19"/>
              </w:rPr>
              <w:t>Phase 4: Continuous Optimization</w:t>
              <w:br/>
              <w:t>(Quarterly Cadence)</w:t>
            </w:r>
          </w:p>
        </w:tc>
        <w:tc>
          <w:tcPr>
            <w:tcW w:type="dxa" w:w="3888"/>
            <w:shd w:fill="F4F6F8"/>
            <w:tcMar>
              <w:top w:w="100" w:type="dxa"/>
              <w:bottom w:w="100" w:type="dxa"/>
              <w:left w:w="140" w:type="dxa"/>
              <w:right w:w="140" w:type="dxa"/>
            </w:tcMar>
          </w:tcPr>
          <w:p>
            <w:pPr>
              <w:jc w:val="left"/>
            </w:pPr>
            <w:r>
              <w:rPr>
                <w:color w:val="212529"/>
                <w:sz w:val="19"/>
              </w:rPr>
              <w:t>• Conduct quarterly AI Asset Registry audits</w:t>
              <w:br/>
              <w:t>• Re-evaluate model performance &amp; drift</w:t>
              <w:br/>
              <w:t>• Refresh employee training curriculum</w:t>
              <w:br/>
              <w:t>• Review regulatory updates &amp; tool changes</w:t>
            </w:r>
          </w:p>
        </w:tc>
        <w:tc>
          <w:tcPr>
            <w:tcW w:type="dxa" w:w="3888"/>
            <w:shd w:fill="F4F6F8"/>
            <w:tcMar>
              <w:top w:w="100" w:type="dxa"/>
              <w:bottom w:w="100" w:type="dxa"/>
              <w:left w:w="140" w:type="dxa"/>
              <w:right w:w="140" w:type="dxa"/>
            </w:tcMar>
          </w:tcPr>
          <w:p>
            <w:pPr>
              <w:jc w:val="left"/>
            </w:pPr>
            <w:r>
              <w:rPr>
                <w:color w:val="212529"/>
                <w:sz w:val="19"/>
              </w:rPr>
              <w:t>Sustained alignment with evolving legal frameworks, technological shifts, and strategic enterprise objectives.</w:t>
            </w:r>
          </w:p>
        </w:tc>
      </w:tr>
    </w:tbl>
    <w:p>
      <w:pPr>
        <w:spacing w:before="0" w:after="120"/>
      </w:pPr>
    </w:p>
    <w:p>
      <w:pPr>
        <w:keepNext/>
        <w:spacing w:before="360" w:after="120"/>
        <w:pBdr>
          <w:bottom w:val="single" w:sz="12" w:space="4" w:color="0B2545"/>
        </w:pBdr>
      </w:pPr>
      <w:r>
        <w:rPr>
          <w:rFonts w:ascii="Calibri Light" w:hAnsi="Calibri Light"/>
          <w:b/>
          <w:color w:val="0B2545"/>
          <w:sz w:val="32"/>
        </w:rPr>
        <w:t>8. Best Practices &amp; Future AI Platform Trends</w:t>
      </w:r>
    </w:p>
    <w:p>
      <w:r>
        <w:t>To maintain a forward-looking posture, the organization continuously integrates emerging best practices and aligns its technical architecture with evolving industry trends in artificial intelligence.</w:t>
      </w:r>
    </w:p>
    <w:p>
      <w:pPr>
        <w:keepNext/>
        <w:spacing w:before="280" w:after="80"/>
      </w:pPr>
      <w:r>
        <w:rPr>
          <w:rFonts w:ascii="Calibri" w:hAnsi="Calibri"/>
          <w:b/>
          <w:color w:val="134074"/>
          <w:sz w:val="26"/>
        </w:rPr>
        <w:t>Operational Best Practices</w:t>
      </w:r>
    </w:p>
    <w:p>
      <w:pPr>
        <w:pStyle w:val="ListBullet"/>
        <w:spacing w:after="80"/>
      </w:pPr>
      <w:r>
        <w:rPr>
          <w:b/>
          <w:color w:val="134074"/>
        </w:rPr>
        <w:t xml:space="preserve">Human-in-the-Loop (HITL) Standards: </w:t>
      </w:r>
      <w:r>
        <w:t>Ensure every AI output intended for customer communication, public release, or operational execution undergoes qualified human review.</w:t>
      </w:r>
    </w:p>
    <w:p>
      <w:pPr>
        <w:pStyle w:val="ListBullet"/>
        <w:spacing w:after="80"/>
      </w:pPr>
      <w:r>
        <w:rPr>
          <w:b/>
          <w:color w:val="134074"/>
        </w:rPr>
        <w:t xml:space="preserve">Robust Prompt Engineering &amp; System Instructions: </w:t>
      </w:r>
      <w:r>
        <w:t>Standardize prompt libraries with embedded safety guidelines, context constraints, and output formatting rules.</w:t>
      </w:r>
    </w:p>
    <w:p>
      <w:pPr>
        <w:pStyle w:val="ListBullet"/>
        <w:spacing w:after="80"/>
      </w:pPr>
      <w:r>
        <w:rPr>
          <w:b/>
          <w:color w:val="134074"/>
        </w:rPr>
        <w:t xml:space="preserve">Vendor Due Diligence Frameworks: </w:t>
      </w:r>
      <w:r>
        <w:t>Systematically evaluate third-party AI platforms for SOC 2 Type II compliance, ISO 42001 certifications, transparent data retention, and subprocessor transparency.</w:t>
      </w:r>
    </w:p>
    <w:p>
      <w:pPr>
        <w:keepNext/>
        <w:spacing w:before="280" w:after="80"/>
      </w:pPr>
      <w:r>
        <w:rPr>
          <w:rFonts w:ascii="Calibri" w:hAnsi="Calibri"/>
          <w:b/>
          <w:color w:val="134074"/>
          <w:sz w:val="26"/>
        </w:rPr>
        <w:t>Future AI Platform Trends &amp; Strategic Outlook</w:t>
      </w:r>
    </w:p>
    <w:p>
      <w:pPr>
        <w:pStyle w:val="ListBullet"/>
        <w:spacing w:after="80"/>
      </w:pPr>
      <w:r>
        <w:rPr>
          <w:b/>
        </w:rPr>
        <w:t xml:space="preserve">Autonomous AI Agents &amp; Multi-Agent Orchestration: </w:t>
      </w:r>
      <w:r>
        <w:t>Transitioning from static prompt-response interfaces to agentic systems that execute complex multi-step workflows, requiring sophisticated permission boundary management and operational kill-switches.</w:t>
      </w:r>
    </w:p>
    <w:p>
      <w:pPr>
        <w:pStyle w:val="ListBullet"/>
        <w:spacing w:after="80"/>
      </w:pPr>
      <w:r>
        <w:rPr>
          <w:b/>
        </w:rPr>
        <w:t xml:space="preserve">Retrieval-Augmented Generation (RAG) &amp; Vector Security: </w:t>
      </w:r>
      <w:r>
        <w:t>Widespread adoption of enterprise RAG architectures linking LLMs directly to structured internal databases, mandating cell-level data access control within vector stores.</w:t>
      </w:r>
    </w:p>
    <w:p>
      <w:pPr>
        <w:pStyle w:val="ListBullet"/>
        <w:spacing w:after="80"/>
      </w:pPr>
      <w:r>
        <w:rPr>
          <w:b/>
        </w:rPr>
        <w:t xml:space="preserve">Domain-Specific Small Language Models (SLMs): </w:t>
      </w:r>
      <w:r>
        <w:t>Increased utilization of highly specialized, parameter-efficient models trained on domain data—offering higher accuracy, lower cost, enhanced privacy, and easier local deployment.</w:t>
      </w:r>
    </w:p>
    <w:p>
      <w:pPr>
        <w:pStyle w:val="ListBullet"/>
        <w:spacing w:after="80"/>
      </w:pPr>
      <w:r>
        <w:rPr>
          <w:b/>
        </w:rPr>
        <w:t xml:space="preserve">Evolving Regulatory Standards (EU AI Act, NIST AIRMF, ISO 42001): </w:t>
      </w:r>
      <w:r>
        <w:t>Escalating legal requirements worldwide mandating strict risk classification, technical documentation, algorithmic transparency, and mandatory conformity assessments for high-risk deployments.</w:t>
      </w:r>
    </w:p>
    <w:p>
      <w:pPr>
        <w:keepNext/>
        <w:spacing w:before="360" w:after="120"/>
        <w:pBdr>
          <w:bottom w:val="single" w:sz="12" w:space="4" w:color="0B2545"/>
        </w:pBdr>
      </w:pPr>
      <w:r>
        <w:rPr>
          <w:rFonts w:ascii="Calibri Light" w:hAnsi="Calibri Light"/>
          <w:b/>
          <w:color w:val="0B2545"/>
          <w:sz w:val="32"/>
        </w:rPr>
        <w:t>9. Employee Quick Reference &amp; Compliance Checklist</w:t>
      </w:r>
    </w:p>
    <w:p>
      <w:r>
        <w:t>Every employee utilizing AI tools for enterprise work must adhere to the following mandatory operational guidelines:</w:t>
      </w:r>
    </w:p>
    <w:p>
      <w:pPr>
        <w:pStyle w:val="ListBullet"/>
        <w:spacing w:after="80"/>
      </w:pPr>
      <w:r>
        <w:t>Work Exclusively with Sanctioned Tools: Utilize only AI platforms explicitly listed in the Enterprise Approved Tool Catalog.</w:t>
      </w:r>
    </w:p>
    <w:p>
      <w:pPr>
        <w:pStyle w:val="ListBullet"/>
        <w:spacing w:after="80"/>
      </w:pPr>
      <w:r>
        <w:t>Verify Data Sensitivity Prior to Entry: Check classification levels before pasting, uploading, or linking datasets to AI interfaces.</w:t>
      </w:r>
    </w:p>
    <w:p>
      <w:pPr>
        <w:pStyle w:val="ListBullet"/>
        <w:spacing w:after="80"/>
      </w:pPr>
      <w:r>
        <w:t>Zero Restricted Data in Unapproved Tools: Never enter non-public corporate data into personal or consumer-grade AI platforms.</w:t>
      </w:r>
    </w:p>
    <w:p>
      <w:pPr>
        <w:pStyle w:val="ListBullet"/>
        <w:spacing w:after="80"/>
      </w:pPr>
      <w:r>
        <w:t>Verify Every Output: Fact-check and cross-reference all AI outputs prior to using them in business decisions, client communications, or reports.</w:t>
      </w:r>
    </w:p>
    <w:p>
      <w:pPr>
        <w:pStyle w:val="ListBullet"/>
        <w:spacing w:after="80"/>
      </w:pPr>
      <w:r>
        <w:t>Maintain Human Control Over Autonomous Actions: Do not grant AI agents authority to execute financial purchases, system modifications, or legal commitments without prior written approval.</w:t>
      </w:r>
    </w:p>
    <w:p>
      <w:pPr>
        <w:pStyle w:val="ListBullet"/>
        <w:spacing w:after="80"/>
      </w:pPr>
      <w:r>
        <w:t>Report Security Incidents Immediately: Report suspected data leaks, unsafe outputs, unapproved AI tools, or unexpected behavior to InfoSec without delay.</w:t>
      </w:r>
    </w:p>
    <w:p>
      <w:pPr>
        <w:pStyle w:val="ListBullet"/>
        <w:spacing w:after="80"/>
      </w:pPr>
      <w:r>
        <w:t>Escalate High-Impact Use Cases: Seek formal risk assessment before deploying AI for hiring, pricing, financial modeling, or legal analysis.</w:t>
      </w:r>
    </w:p>
    <w:p>
      <w:pPr>
        <w:keepNext/>
        <w:spacing w:before="360" w:after="120"/>
        <w:pBdr>
          <w:bottom w:val="single" w:sz="12" w:space="4" w:color="0B2545"/>
        </w:pBdr>
      </w:pPr>
      <w:r>
        <w:rPr>
          <w:rFonts w:ascii="Calibri Light" w:hAnsi="Calibri Light"/>
          <w:b/>
          <w:color w:val="0B2545"/>
          <w:sz w:val="32"/>
        </w:rPr>
        <w:t>10. Key Performance Indicators &amp; Policy Baseline</w:t>
      </w:r>
    </w:p>
    <w:p>
      <w:pPr>
        <w:keepNext/>
        <w:spacing w:before="280" w:after="80"/>
      </w:pPr>
      <w:r>
        <w:rPr>
          <w:rFonts w:ascii="Calibri" w:hAnsi="Calibri"/>
          <w:b/>
          <w:color w:val="134074"/>
          <w:sz w:val="26"/>
        </w:rPr>
        <w:t>Governance Program Key Performance Indicators (KPIs)</w:t>
      </w:r>
    </w:p>
    <w:p>
      <w:pPr>
        <w:pStyle w:val="ListBullet"/>
        <w:spacing w:after="80"/>
      </w:pPr>
      <w:r>
        <w:rPr>
          <w:b/>
          <w:color w:val="134074"/>
        </w:rPr>
        <w:t xml:space="preserve">Asset Registry Coverage: </w:t>
      </w:r>
      <w:r>
        <w:t>Percentage of operational AI tools and models formally registered, categorized, and assigned clear owners (Target: 100%).</w:t>
      </w:r>
    </w:p>
    <w:p>
      <w:pPr>
        <w:pStyle w:val="ListBullet"/>
        <w:spacing w:after="80"/>
      </w:pPr>
      <w:r>
        <w:rPr>
          <w:b/>
          <w:color w:val="134074"/>
        </w:rPr>
        <w:t xml:space="preserve">Training Completion Rate: </w:t>
      </w:r>
      <w:r>
        <w:t>Percentage of active employees who have completed annual AI Governance &amp; Security training (Target: &gt;95%).</w:t>
      </w:r>
    </w:p>
    <w:p>
      <w:pPr>
        <w:pStyle w:val="ListBullet"/>
        <w:spacing w:after="80"/>
      </w:pPr>
      <w:r>
        <w:rPr>
          <w:b/>
          <w:color w:val="134074"/>
        </w:rPr>
        <w:t xml:space="preserve">Shadow AI Remediation: </w:t>
      </w:r>
      <w:r>
        <w:t>Total number of unapproved AI tools identified and average time required to transition or decommission (Target: &lt;14 days).</w:t>
      </w:r>
    </w:p>
    <w:p>
      <w:pPr>
        <w:pStyle w:val="ListBullet"/>
        <w:spacing w:after="80"/>
      </w:pPr>
      <w:r>
        <w:rPr>
          <w:b/>
          <w:color w:val="134074"/>
        </w:rPr>
        <w:t xml:space="preserve">High-Risk System Oversight: </w:t>
      </w:r>
      <w:r>
        <w:t>Percentage of Tier 3 (High Risk) AI workflows with completed Privacy Impact Assessments and active HITL controls (Target: 100%).</w:t>
      </w:r>
    </w:p>
    <w:p>
      <w:pPr>
        <w:pStyle w:val="ListBullet"/>
        <w:spacing w:after="80"/>
      </w:pPr>
      <w:r>
        <w:rPr>
          <w:b/>
          <w:color w:val="134074"/>
        </w:rPr>
        <w:t xml:space="preserve">Incident Frequency &amp; Containment: </w:t>
      </w:r>
      <w:r>
        <w:t>Number of reported AI security incidents, data policy violations, and mean time to contain (MTTC).</w:t>
      </w:r>
    </w:p>
    <w:p>
      <w:pPr>
        <w:pStyle w:val="ListBullet"/>
        <w:spacing w:after="80"/>
      </w:pPr>
      <w:r>
        <w:rPr>
          <w:b/>
          <w:color w:val="134074"/>
        </w:rPr>
        <w:t xml:space="preserve">Business Value Realization: </w:t>
      </w:r>
      <w:r>
        <w:t>Quantifiable efficiency gains, cost savings, response time improvements, and ROI generated by governed AI initiatives.</w:t>
      </w:r>
    </w:p>
    <w:p>
      <w:pPr>
        <w:keepNext/>
        <w:spacing w:before="280" w:after="80"/>
      </w:pPr>
      <w:r>
        <w:rPr>
          <w:rFonts w:ascii="Calibri" w:hAnsi="Calibri"/>
          <w:b/>
          <w:color w:val="134074"/>
          <w:sz w:val="26"/>
        </w:rPr>
        <w:t>Enterprise Acceptable Use Policy Baseline</w:t>
      </w:r>
    </w:p>
    <w:tbl>
      <w:tblPr>
        <w:tblW w:type="auto" w:w="0"/>
        <w:jc w:val="center"/>
        <w:tblLook w:firstColumn="1" w:firstRow="1" w:lastColumn="0" w:lastRow="0" w:noHBand="0" w:noVBand="1" w:val="04A0"/>
      </w:tblPr>
      <w:tblGrid>
        <w:gridCol w:w="9936"/>
      </w:tblGrid>
      <w:tr>
        <w:tc>
          <w:tcPr>
            <w:tcW w:type="dxa" w:w="9936"/>
            <w:shd w:fill="EBF3F5"/>
            <w:tcMar>
              <w:top w:w="140" w:type="dxa"/>
              <w:bottom w:w="140" w:type="dxa"/>
              <w:left w:w="200" w:type="dxa"/>
              <w:right w:w="200" w:type="dxa"/>
            </w:tcMar>
            <w:tcBorders>
              <w:left w:val="single" w:sz="24" w:space="0" w:color="0B2545"/>
              <w:top w:val="none"/>
              <w:bottom w:val="none"/>
              <w:right w:val="none"/>
            </w:tcBorders>
          </w:tcPr>
          <w:p>
            <w:pPr>
              <w:spacing w:before="40" w:after="40" w:line="276" w:lineRule="auto"/>
            </w:pPr>
            <w:r>
              <w:rPr>
                <w:b/>
                <w:color w:val="0B2545"/>
              </w:rPr>
              <w:t xml:space="preserve">POLICY STATEMENT: </w:t>
            </w:r>
            <w:r>
              <w:rPr>
                <w:i w:val="0"/>
                <w:color w:val="212529"/>
              </w:rPr>
              <w:t>Employees are permitted to utilize only organization-approved AI platforms for corporate activities. Staff must protect confidential and restricted information at all times, rigorously validate all material AI outputs prior to operational reliance, and adhere strictly to corporate data protection guidelines. Unsanctioned 'Shadow AI' usage is strictly prohibited. Any deployment of AI involving high-impact outcomes (such as legal rights, employment decisions, credit, pricing, or health) requires prior formal authorization, documented human oversight, and continuous monitoring.</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