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800"/>
      </w:pPr>
    </w:p>
    <w:p>
      <w:pPr>
        <w:spacing w:after="80"/>
        <w:jc w:val="center"/>
      </w:pPr>
      <w:r>
        <w:rPr>
          <w:rFonts w:ascii="Arial" w:cs="Arial" w:eastAsia="Arial" w:hAnsi="Arial"/>
          <w:b/>
          <w:bCs/>
          <w:color w:val="1B3A5C"/>
          <w:sz w:val="72"/>
          <w:szCs w:val="72"/>
        </w:rPr>
        <w:t xml:space="preserve">ANDAR</w:t>
      </w:r>
    </w:p>
    <w:p>
      <w:pPr>
        <w:spacing w:after="40"/>
        <w:jc w:val="center"/>
      </w:pPr>
      <w:r>
        <w:rPr>
          <w:rFonts w:ascii="Arial" w:cs="Arial" w:eastAsia="Arial" w:hAnsi="Arial"/>
          <w:color w:val="2A7B88"/>
          <w:sz w:val="48"/>
          <w:szCs w:val="48"/>
        </w:rPr>
        <w:t xml:space="preserve">أنظر</w:t>
      </w:r>
    </w:p>
    <w:p>
      <w:pPr>
        <w:pBdr>
          <w:bottom w:val="single" w:color="2A7B88" w:sz="6" w:space="1"/>
        </w:pBdr>
        <w:spacing w:after="400"/>
        <w:jc w:val="center"/>
      </w:pPr>
    </w:p>
    <w:p>
      <w:pPr>
        <w:spacing w:after="200"/>
      </w:pPr>
    </w:p>
    <w:p>
      <w:pPr>
        <w:spacing w:after="120"/>
        <w:jc w:val="center"/>
      </w:pPr>
      <w:r>
        <w:rPr>
          <w:rFonts w:ascii="Arial" w:cs="Arial" w:eastAsia="Arial" w:hAnsi="Arial"/>
          <w:color w:val="1B3A5C"/>
          <w:sz w:val="32"/>
          <w:szCs w:val="32"/>
        </w:rPr>
        <w:t xml:space="preserve">Spécification Technique Complète</w:t>
      </w:r>
    </w:p>
    <w:p>
      <w:pPr>
        <w:spacing w:after="80"/>
        <w:jc w:val="center"/>
      </w:pPr>
      <w:r>
        <w:rPr>
          <w:rFonts w:ascii="Arial" w:cs="Arial" w:eastAsia="Arial" w:hAnsi="Arial"/>
          <w:color w:val="2A7B88"/>
          <w:sz w:val="28"/>
          <w:szCs w:val="28"/>
        </w:rPr>
        <w:t xml:space="preserve">Dashboard de Conformité Multi-Référentiel</w:t>
      </w:r>
    </w:p>
    <w:p>
      <w:pPr>
        <w:spacing w:after="80"/>
        <w:jc w:val="center"/>
      </w:pPr>
      <w:r>
        <w:rPr>
          <w:rFonts w:ascii="Arial" w:cs="Arial" w:eastAsia="Arial" w:hAnsi="Arial"/>
          <w:color w:val="666666"/>
          <w:sz w:val="22"/>
          <w:szCs w:val="22"/>
        </w:rPr>
        <w:t xml:space="preserve">Accreditation Canada Diamond · JCI 8th Ed. · HAS V2025</w:t>
      </w:r>
    </w:p>
    <w:p>
      <w:pPr>
        <w:spacing w:after="400"/>
      </w:pPr>
    </w:p>
    <w:p>
      <w:pPr>
        <w:spacing w:after="60"/>
        <w:jc w:val="center"/>
      </w:pPr>
      <w:r>
        <w:rPr>
          <w:rFonts w:ascii="Arial" w:cs="Arial" w:eastAsia="Arial" w:hAnsi="Arial"/>
          <w:color w:val="666666"/>
          <w:sz w:val="20"/>
          <w:szCs w:val="20"/>
        </w:rPr>
        <w:t xml:space="preserve">Environnement cible : Google Antigravity</w:t>
      </w:r>
    </w:p>
    <w:p>
      <w:pPr>
        <w:spacing w:after="60"/>
        <w:jc w:val="center"/>
      </w:pPr>
      <w:r>
        <w:rPr>
          <w:rFonts w:ascii="Arial" w:cs="Arial" w:eastAsia="Arial" w:hAnsi="Arial"/>
          <w:color w:val="666666"/>
          <w:sz w:val="20"/>
          <w:szCs w:val="20"/>
        </w:rPr>
        <w:t xml:space="preserve">Mars 2026 — v1.0</w:t>
      </w:r>
    </w:p>
    <w:p>
      <w:pPr>
        <w:spacing w:after="200"/>
      </w:pPr>
    </w:p>
    <w:p>
      <w:pPr>
        <w:spacing w:after="60"/>
        <w:jc w:val="center"/>
      </w:pPr>
      <w:r>
        <w:rPr>
          <w:rFonts w:ascii="Arial" w:cs="Arial" w:eastAsia="Arial" w:hAnsi="Arial"/>
          <w:b/>
          <w:bCs/>
          <w:color w:val="1B3A5C"/>
          <w:sz w:val="20"/>
          <w:szCs w:val="20"/>
        </w:rPr>
        <w:t xml:space="preserve">Dr. Rida Akodad</w:t>
      </w:r>
    </w:p>
    <w:p>
      <w:pPr>
        <w:jc w:val="center"/>
      </w:pPr>
      <w:r>
        <w:rPr>
          <w:rFonts w:ascii="Arial" w:cs="Arial" w:eastAsia="Arial" w:hAnsi="Arial"/>
          <w:color w:val="666666"/>
          <w:sz w:val="18"/>
          <w:szCs w:val="18"/>
        </w:rPr>
        <w:t xml:space="preserve">CMO Doctify Health | Adjoint Scientifique du Directeur HUIM6</w:t>
      </w:r>
    </w:p>
    <w:p>
      <w:pPr>
        <w:spacing w:after="200"/>
      </w:pPr>
    </w:p>
    <w:p>
      <w:pPr>
        <w:jc w:val="center"/>
      </w:pPr>
      <w:r>
        <w:rPr>
          <w:rFonts w:ascii="Arial" w:cs="Arial" w:eastAsia="Arial" w:hAnsi="Arial"/>
          <w:b/>
          <w:bCs/>
          <w:color w:val="C0392B"/>
          <w:sz w:val="16"/>
          <w:szCs w:val="16"/>
        </w:rPr>
        <w:t xml:space="preserve">DOCUMENT TECHNIQUE — CONFIDENTIEL</w:t>
      </w:r>
    </w:p>
    <w:p>
      <w:pPr>
        <w:sectPr>
          <w:pgSz w:w="11906" w:h="16838" w:orient="portrait"/>
          <w:pgMar w:top="2880" w:right="1440" w:bottom="1440" w:left="1440" w:header="708" w:footer="708" w:gutter="0"/>
          <w:pgNumType/>
          <w:docGrid w:linePitch="360"/>
        </w:sectPr>
      </w:pPr>
    </w:p>
    <w:p>
      <w:pPr>
        <w:spacing w:after="200"/>
      </w:pPr>
      <w:r>
        <w:rPr>
          <w:rFonts w:ascii="Arial" w:cs="Arial" w:eastAsia="Arial" w:hAnsi="Arial"/>
          <w:b/>
          <w:bCs/>
          <w:color w:val="1B3A5C"/>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Vue d’Ensemble du Produit</w:t>
      </w:r>
    </w:p>
    <w:p>
      <w:pPr>
        <w:pStyle w:val="Heading2"/>
      </w:pPr>
      <w:r>
        <w:t xml:space="preserve">1.1 Objectif</w:t>
      </w:r>
    </w:p>
    <w:p>
      <w:pPr>
        <w:spacing w:after="160" w:line="276"/>
        <w:jc w:val="both"/>
      </w:pPr>
      <w:r>
        <w:rPr>
          <w:rFonts w:ascii="Arial" w:cs="Arial" w:eastAsia="Arial" w:hAnsi="Arial"/>
          <w:b w:val="false"/>
          <w:bCs w:val="false"/>
          <w:i w:val="false"/>
          <w:iCs w:val="false"/>
          <w:color w:val="333333"/>
          <w:sz w:val="21"/>
          <w:szCs w:val="21"/>
        </w:rPr>
        <w:t xml:space="preserve">Andar Dashboard est une plateforme web de suivi de conformité hospitalière multi-référentiel. Elle permet à un hôpital de visualiser en temps réel sa progression vers l’accréditation selon trois cadres internationaux : Accreditation Canada Diamond, JCI (8ème édition), et HAS (V2025).</w:t>
      </w:r>
    </w:p>
    <w:p>
      <w:pPr>
        <w:spacing w:after="160" w:line="276"/>
        <w:jc w:val="both"/>
      </w:pPr>
      <w:r>
        <w:rPr>
          <w:rFonts w:ascii="Arial" w:cs="Arial" w:eastAsia="Arial" w:hAnsi="Arial"/>
          <w:b w:val="false"/>
          <w:bCs w:val="false"/>
          <w:i w:val="false"/>
          <w:iCs w:val="false"/>
          <w:color w:val="333333"/>
          <w:sz w:val="21"/>
          <w:szCs w:val="21"/>
        </w:rPr>
        <w:t xml:space="preserve">Le système ingère des données via import Excel/CSV et connexion directe aux systèmes d’information hospitalier (HIS), puis calcule automatiquement les indicateurs de conformité par domaine, génère des alertes, et produit des rapports formatés pour les évaluateurs.</w:t>
      </w:r>
    </w:p>
    <w:p>
      <w:pPr>
        <w:pStyle w:val="Heading2"/>
      </w:pPr>
      <w:r>
        <w:t xml:space="preserve">1.2 Utilisateurs Cibles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Rôle</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Usage principal</w:t>
            </w:r>
          </w:p>
        </w:tc>
        <w:tc>
          <w:tcPr>
            <w:tcW w:type="dxa" w:w="3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Fréquence</w:t>
            </w:r>
          </w:p>
        </w:tc>
      </w:tr>
      <w:tr>
        <w:tc>
          <w:tcPr>
            <w:tcW w:type="dxa" w:w="25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Directeur Général</w:t>
            </w:r>
          </w:p>
        </w:tc>
        <w:tc>
          <w:tcPr>
            <w:tcW w:type="dxa" w:w="35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Vue synthétique, décisions stratégiques</w:t>
            </w:r>
          </w:p>
        </w:tc>
        <w:tc>
          <w:tcPr>
            <w:tcW w:type="dxa" w:w="30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Quotidien (WhatsApp) + Hebdo (dashboard)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Responsable Qualité</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Suivi détaillé, plans d’action, rapports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Quotidien</w:t>
            </w:r>
          </w:p>
        </w:tc>
      </w:tr>
      <w:tr>
        <w:tc>
          <w:tcPr>
            <w:tcW w:type="dxa" w:w="25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Chef de Département</w:t>
            </w:r>
          </w:p>
        </w:tc>
        <w:tc>
          <w:tcPr>
            <w:tcW w:type="dxa" w:w="35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Conformité de son service, tâches assignées</w:t>
            </w:r>
          </w:p>
        </w:tc>
        <w:tc>
          <w:tcPr>
            <w:tcW w:type="dxa" w:w="30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2–3x/semaine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Chef Contrôle Infectieux</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KPIs IPAC, audits, taux d’infections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Quotidien</w:t>
            </w:r>
          </w:p>
        </w:tc>
      </w:tr>
      <w:tr>
        <w:tc>
          <w:tcPr>
            <w:tcW w:type="dxa" w:w="25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Équipe DSI</w:t>
            </w:r>
          </w:p>
        </w:tc>
        <w:tc>
          <w:tcPr>
            <w:tcW w:type="dxa" w:w="35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Intégration HIS, maintenance, sécurité</w:t>
            </w:r>
          </w:p>
        </w:tc>
        <w:tc>
          <w:tcPr>
            <w:tcW w:type="dxa" w:w="30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Hebdomadaire</w:t>
            </w:r>
          </w:p>
        </w:tc>
      </w:tr>
    </w:tbl>
    <w:p>
      <w:pPr>
        <w:spacing w:after="200"/>
      </w:pPr>
    </w:p>
    <w:p>
      <w:pPr>
        <w:pStyle w:val="Heading2"/>
      </w:pPr>
      <w:r>
        <w:t xml:space="preserve">1.3 Positionnement dans la Roadmap HUIM6</w:t>
      </w:r>
    </w:p>
    <w:p>
      <w:pPr>
        <w:spacing w:after="160" w:line="276"/>
        <w:jc w:val="both"/>
      </w:pPr>
      <w:r>
        <w:rPr>
          <w:rFonts w:ascii="Arial" w:cs="Arial" w:eastAsia="Arial" w:hAnsi="Arial"/>
          <w:b w:val="false"/>
          <w:bCs w:val="false"/>
          <w:i w:val="false"/>
          <w:iCs w:val="false"/>
          <w:color w:val="333333"/>
          <w:sz w:val="21"/>
          <w:szCs w:val="21"/>
        </w:rPr>
        <w:t xml:space="preserve">Ce dashboard est le premier livrable de la </w:t>
      </w:r>
      <w:r>
        <w:rPr>
          <w:rFonts w:ascii="Arial" w:cs="Arial" w:eastAsia="Arial" w:hAnsi="Arial"/>
          <w:b/>
          <w:bCs/>
          <w:i w:val="false"/>
          <w:iCs w:val="false"/>
          <w:color w:val="1B3A5C"/>
          <w:sz w:val="21"/>
          <w:szCs w:val="21"/>
        </w:rPr>
        <w:t xml:space="preserve">Phase 1 — Observer et Mesurer</w:t>
      </w:r>
      <w:r>
        <w:rPr>
          <w:rFonts w:ascii="Arial" w:cs="Arial" w:eastAsia="Arial" w:hAnsi="Arial"/>
          <w:b w:val="false"/>
          <w:bCs w:val="false"/>
          <w:i w:val="false"/>
          <w:iCs w:val="false"/>
          <w:color w:val="333333"/>
          <w:sz w:val="21"/>
          <w:szCs w:val="21"/>
        </w:rPr>
        <w:t xml:space="preserve"> de la Feuille de Route Stratégique IA du HUIM6 (présentée en mars 2026). Il s’intègre directement dans l’</w:t>
      </w:r>
      <w:r>
        <w:rPr>
          <w:rFonts w:ascii="Arial" w:cs="Arial" w:eastAsia="Arial" w:hAnsi="Arial"/>
          <w:b/>
          <w:bCs/>
          <w:i w:val="false"/>
          <w:iCs w:val="false"/>
          <w:color w:val="2A7B88"/>
          <w:sz w:val="21"/>
          <w:szCs w:val="21"/>
        </w:rPr>
        <w:t xml:space="preserve">Initiative 1 (Tableau de Bord Clinique Vivant)</w:t>
      </w:r>
      <w:r>
        <w:rPr>
          <w:rFonts w:ascii="Arial" w:cs="Arial" w:eastAsia="Arial" w:hAnsi="Arial"/>
          <w:b w:val="false"/>
          <w:bCs w:val="false"/>
          <w:i w:val="false"/>
          <w:iCs w:val="false"/>
          <w:color w:val="333333"/>
          <w:sz w:val="21"/>
          <w:szCs w:val="21"/>
        </w:rPr>
        <w:t xml:space="preserve"> en y ajoutant la dimension accréditation.</w:t>
      </w:r>
    </w:p>
    <w:p>
      <w:r>
        <w:br w:type="page"/>
      </w:r>
    </w:p>
    <w:p>
      <w:pPr>
        <w:pStyle w:val="Heading1"/>
      </w:pPr>
      <w:r>
        <w:t xml:space="preserve">2. Référentiels d’Accréditation</w:t>
      </w:r>
    </w:p>
    <w:p>
      <w:pPr>
        <w:pStyle w:val="Heading2"/>
      </w:pPr>
      <w:r>
        <w:t xml:space="preserve">2.1 Accreditation Canada Diamond (Qmentum Global)</w:t>
      </w:r>
    </w:p>
    <w:p>
      <w:pPr>
        <w:spacing w:after="160" w:line="276"/>
        <w:jc w:val="both"/>
      </w:pPr>
      <w:r>
        <w:rPr>
          <w:rFonts w:ascii="Arial" w:cs="Arial" w:eastAsia="Arial" w:hAnsi="Arial"/>
          <w:b w:val="false"/>
          <w:bCs w:val="false"/>
          <w:i w:val="false"/>
          <w:iCs w:val="false"/>
          <w:color w:val="333333"/>
          <w:sz w:val="21"/>
          <w:szCs w:val="21"/>
        </w:rPr>
        <w:t xml:space="preserve">Le niveau Diamond est le plus élevé de la certification Accreditation Canada. Il exige une conformité proche de 100% sur l’ensemble des standards et des ROPs (Required Organizational Practices). Le programme Qmentum Global structure l’évaluation autour de 6 domaines de sécurité patient.</w:t>
      </w:r>
    </w:p>
    <w:p>
      <w:pPr>
        <w:pStyle w:val="Heading3"/>
      </w:pPr>
      <w:r>
        <w:t xml:space="preserve">6 Domaines de Sécurité Patient (ROPs)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Domaine</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ROPs clés</w:t>
            </w:r>
          </w:p>
        </w:tc>
        <w:tc>
          <w:tcPr>
            <w:tcW w:type="dxa" w:w="3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KPIs Dashboard</w:t>
            </w:r>
          </w:p>
        </w:tc>
      </w:tr>
      <w:tr>
        <w:tc>
          <w:tcPr>
            <w:tcW w:type="dxa" w:w="20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Culture de Sécurité</w:t>
            </w:r>
          </w:p>
        </w:tc>
        <w:tc>
          <w:tcPr>
            <w:tcW w:type="dxa" w:w="40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Responsabilité qualité, divulgation incidents, rapports trimestriels</w:t>
            </w:r>
          </w:p>
        </w:tc>
        <w:tc>
          <w:tcPr>
            <w:tcW w:type="dxa" w:w="30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Taux déclaration incidents, % rapports produits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Communication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Identification patient, liste abréviations interdites, transfert info, réconciliation médicamenteuse, checklist chirurgicale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 patients identifiés 2 ID, taux checklist complète</w:t>
            </w:r>
          </w:p>
        </w:tc>
      </w:tr>
      <w:tr>
        <w:tc>
          <w:tcPr>
            <w:tcW w:type="dxa" w:w="20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Médicaments</w:t>
            </w:r>
          </w:p>
        </w:tc>
        <w:tc>
          <w:tcPr>
            <w:tcW w:type="dxa" w:w="40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Antimicrobiens, électrolytes concentrés, héparine, hauts risques, pompes perfusion, narcotiques</w:t>
            </w:r>
          </w:p>
        </w:tc>
        <w:tc>
          <w:tcPr>
            <w:tcW w:type="dxa" w:w="30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Taux erreurs méd., % protocoles appliqués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Vie au travail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Flux patient, sécurité patient aux urgences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Temps attente urgences, taux occupation</w:t>
            </w:r>
          </w:p>
        </w:tc>
      </w:tr>
      <w:tr>
        <w:tc>
          <w:tcPr>
            <w:tcW w:type="dxa" w:w="20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Contrôle Infections</w:t>
            </w:r>
          </w:p>
        </w:tc>
        <w:tc>
          <w:tcPr>
            <w:tcW w:type="dxa" w:w="40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Hygiène mains, prévention infections, réutilisation DM</w:t>
            </w:r>
          </w:p>
        </w:tc>
        <w:tc>
          <w:tcPr>
            <w:tcW w:type="dxa" w:w="30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Taux conformité hygiène mains, taux infections nosocomiales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Évaluation Risques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Prévention chutes, prévention escarres, prévention suicide, prévention TVP</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Taux chutes/1000j, taux escarres, % évaluations risque complètes</w:t>
            </w:r>
          </w:p>
        </w:tc>
      </w:tr>
    </w:tbl>
    <w:p>
      <w:pPr>
        <w:spacing w:after="80"/>
      </w:pPr>
    </w:p>
    <w:p>
      <w:pPr>
        <w:pStyle w:val="Heading3"/>
      </w:pPr>
      <w:r>
        <w:t xml:space="preserve">8 Domaines d’Évaluation Organisationnelle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42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Domaine</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Code</w:t>
            </w:r>
          </w:p>
        </w:tc>
        <w:tc>
          <w:tcPr>
            <w:tcW w:type="dxa" w:w="54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Périmètre</w:t>
            </w:r>
          </w:p>
        </w:tc>
      </w:tr>
      <w:tr>
        <w:tc>
          <w:tcPr>
            <w:tcW w:type="dxa" w:w="2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Leadership</w:t>
            </w:r>
          </w:p>
        </w:tc>
        <w:tc>
          <w:tcPr>
            <w:tcW w:type="dxa" w:w="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LD</w:t>
            </w:r>
          </w:p>
        </w:tc>
        <w:tc>
          <w:tcPr>
            <w:tcW w:type="dxa" w:w="54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Stratégie, planification, gestion des ressources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Gouvernance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GOV</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Structure de gouvernance, responsabilité qualité, transparence</w:t>
            </w:r>
          </w:p>
        </w:tc>
      </w:tr>
      <w:tr>
        <w:tc>
          <w:tcPr>
            <w:tcW w:type="dxa" w:w="2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Ressources Humaines</w:t>
            </w:r>
          </w:p>
        </w:tc>
        <w:tc>
          <w:tcPr>
            <w:tcW w:type="dxa" w:w="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HR</w:t>
            </w:r>
          </w:p>
        </w:tc>
        <w:tc>
          <w:tcPr>
            <w:tcW w:type="dxa" w:w="54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Recrutement, formation, évaluation, bien-être au travail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Prévention Infections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IPAC</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Protocoles hygiène, surveillance, formation, audits</w:t>
            </w:r>
          </w:p>
        </w:tc>
      </w:tr>
      <w:tr>
        <w:tc>
          <w:tcPr>
            <w:tcW w:type="dxa" w:w="2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Gestion Médicaments</w:t>
            </w:r>
          </w:p>
        </w:tc>
        <w:tc>
          <w:tcPr>
            <w:tcW w:type="dxa" w:w="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MM</w:t>
            </w:r>
          </w:p>
        </w:tc>
        <w:tc>
          <w:tcPr>
            <w:tcW w:type="dxa" w:w="54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Circuit médicament, stockage, dispensation, réconciliation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Éducation Patient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PFE</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Information patient, consentement, éducation thérapeutique</w:t>
            </w:r>
          </w:p>
        </w:tc>
      </w:tr>
      <w:tr>
        <w:tc>
          <w:tcPr>
            <w:tcW w:type="dxa" w:w="2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Flux Patient</w:t>
            </w:r>
          </w:p>
        </w:tc>
        <w:tc>
          <w:tcPr>
            <w:tcW w:type="dxa" w:w="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PF</w:t>
            </w:r>
          </w:p>
        </w:tc>
        <w:tc>
          <w:tcPr>
            <w:tcW w:type="dxa" w:w="54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Admissions, transferts, sorties, gestion lits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Amélioration Qualité</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QI</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Indicateurs qualité, analyse causes, plans amélioration</w:t>
            </w:r>
          </w:p>
        </w:tc>
      </w:tr>
    </w:tbl>
    <w:p>
      <w:pPr>
        <w:spacing w:after="200"/>
      </w:pPr>
    </w:p>
    <w:p>
      <w:pPr>
        <w:pStyle w:val="Heading2"/>
      </w:pPr>
      <w:r>
        <w:t xml:space="preserve">2.2 JCI — Joint Commission International (8ème Édition, 2025)</w:t>
      </w:r>
    </w:p>
    <w:p>
      <w:pPr>
        <w:spacing w:after="160" w:line="276"/>
        <w:jc w:val="both"/>
      </w:pPr>
      <w:r>
        <w:rPr>
          <w:rFonts w:ascii="Arial" w:cs="Arial" w:eastAsia="Arial" w:hAnsi="Arial"/>
          <w:b w:val="false"/>
          <w:bCs w:val="false"/>
          <w:i w:val="false"/>
          <w:iCs w:val="false"/>
          <w:color w:val="333333"/>
          <w:sz w:val="21"/>
          <w:szCs w:val="21"/>
        </w:rPr>
        <w:t xml:space="preserve">La 8ème édition JCI est structurée en 5 sections principales. Le nombre de standards a été réduit de 10–15% par consolidation. Nouveautés majeures : chapitre Sécurité Patient dédié, chapitre Technologie de Santé (DSE, télésanté, cybersécurité), et chapitre Impact Sanitaire Mondial (durabilité environnementale).</w:t>
      </w:r>
    </w:p>
    <w:p>
      <w:pPr>
        <w:pStyle w:val="Heading3"/>
      </w:pPr>
      <w:r>
        <w:t xml:space="preserve">Sections et Chapitres JCI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2726"/>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Section</w:t>
            </w:r>
          </w:p>
        </w:tc>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Chapitres</w:t>
            </w:r>
          </w:p>
        </w:tc>
        <w:tc>
          <w:tcPr>
            <w:tcW w:type="dxa" w:w="27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KPIs Dashboard</w:t>
            </w:r>
          </w:p>
        </w:tc>
      </w:tr>
      <w:tr>
        <w:tc>
          <w:tcPr>
            <w:tcW w:type="dxa" w:w="25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1. Participation à l’accréditation (APR)</w:t>
            </w:r>
          </w:p>
        </w:tc>
        <w:tc>
          <w:tcPr>
            <w:tcW w:type="dxa" w:w="3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Soumission données, rapports, conformité continue</w:t>
            </w:r>
          </w:p>
        </w:tc>
        <w:tc>
          <w:tcPr>
            <w:tcW w:type="dxa" w:w="27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 documents soumis à temps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2. Soins Centrés Patient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IPSG (6 objectifs sécurité), ACC, PCC, ASC, MMU, AOP, COP, PFE, PFR</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Score IPSG, taux événements sentinelles</w:t>
            </w:r>
          </w:p>
        </w:tc>
      </w:tr>
      <w:tr>
        <w:tc>
          <w:tcPr>
            <w:tcW w:type="dxa" w:w="25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3. Gestion Organisation</w:t>
            </w:r>
          </w:p>
        </w:tc>
        <w:tc>
          <w:tcPr>
            <w:tcW w:type="dxa" w:w="3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QPS, PCI, GLD, FMS, SQE, MOI, HIT, PS</w:t>
            </w:r>
          </w:p>
        </w:tc>
        <w:tc>
          <w:tcPr>
            <w:tcW w:type="dxa" w:w="27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Score QPS, taux non-conformités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4. Impact Sanitaire Mondial (GHI)</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Durabilité environnementale (nouveau)</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Score GHI, indicateurs écologiques</w:t>
            </w:r>
          </w:p>
        </w:tc>
      </w:tr>
      <w:tr>
        <w:tc>
          <w:tcPr>
            <w:tcW w:type="dxa" w:w="25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5. Centre Médical Académique</w:t>
            </w:r>
          </w:p>
        </w:tc>
        <w:tc>
          <w:tcPr>
            <w:tcW w:type="dxa" w:w="3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MPE, HRP (éducation médicale, recherche)</w:t>
            </w:r>
          </w:p>
        </w:tc>
        <w:tc>
          <w:tcPr>
            <w:tcW w:type="dxa" w:w="27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Nb publications, essais cliniques actifs</w:t>
            </w:r>
          </w:p>
        </w:tc>
      </w:tr>
    </w:tbl>
    <w:p>
      <w:pPr>
        <w:spacing w:after="80"/>
      </w:pPr>
    </w:p>
    <w:p>
      <w:pPr>
        <w:pStyle w:val="Heading3"/>
      </w:pPr>
      <w:r>
        <w:t xml:space="preserve">6 Objectifs Internationaux de Sécurité Patient (IPSG)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0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IPSG</w:t>
            </w:r>
          </w:p>
        </w:tc>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Objectif</w:t>
            </w:r>
          </w:p>
        </w:tc>
        <w:tc>
          <w:tcPr>
            <w:tcW w:type="dxa" w:w="4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Indicateur mesurable</w:t>
            </w:r>
          </w:p>
        </w:tc>
      </w:tr>
      <w:tr>
        <w:tc>
          <w:tcPr>
            <w:tcW w:type="dxa" w:w="12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IPSG.1</w:t>
            </w:r>
          </w:p>
        </w:tc>
        <w:tc>
          <w:tcPr>
            <w:tcW w:type="dxa" w:w="3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Identification correcte des patients</w:t>
            </w:r>
          </w:p>
        </w:tc>
        <w:tc>
          <w:tcPr>
            <w:tcW w:type="dxa" w:w="40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 patients avec 2 identifiants vérifiés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IPSG.2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Communication efficace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 ordres verbaux relus et confirmés</w:t>
            </w:r>
          </w:p>
        </w:tc>
      </w:tr>
      <w:tr>
        <w:tc>
          <w:tcPr>
            <w:tcW w:type="dxa" w:w="12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IPSG.3</w:t>
            </w:r>
          </w:p>
        </w:tc>
        <w:tc>
          <w:tcPr>
            <w:tcW w:type="dxa" w:w="3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Sécurité médicaments haute alerte</w:t>
            </w:r>
          </w:p>
        </w:tc>
        <w:tc>
          <w:tcPr>
            <w:tcW w:type="dxa" w:w="40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 médicaments haute alerte étiquetés conformément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IPSG.4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Sécurité chirurgicale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 checklist chirurgicale complète</w:t>
            </w:r>
          </w:p>
        </w:tc>
      </w:tr>
      <w:tr>
        <w:tc>
          <w:tcPr>
            <w:tcW w:type="dxa" w:w="12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IPSG.5</w:t>
            </w:r>
          </w:p>
        </w:tc>
        <w:tc>
          <w:tcPr>
            <w:tcW w:type="dxa" w:w="3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Réduction infections associées soins</w:t>
            </w:r>
          </w:p>
        </w:tc>
        <w:tc>
          <w:tcPr>
            <w:tcW w:type="dxa" w:w="40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Taux conformité hygiène mains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IPSG.6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Réduction risque chutes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Taux chutes / 1000 jours-patient</w:t>
            </w:r>
          </w:p>
        </w:tc>
      </w:tr>
    </w:tbl>
    <w:p>
      <w:pPr>
        <w:spacing w:after="200"/>
      </w:pPr>
    </w:p>
    <w:p>
      <w:pPr>
        <w:pStyle w:val="Heading2"/>
      </w:pPr>
      <w:r>
        <w:t xml:space="preserve">2.3 HAS — Certification V2025 (6ème Cycle)</w:t>
      </w:r>
    </w:p>
    <w:p>
      <w:pPr>
        <w:spacing w:after="160" w:line="276"/>
        <w:jc w:val="both"/>
      </w:pPr>
      <w:r>
        <w:rPr>
          <w:rFonts w:ascii="Arial" w:cs="Arial" w:eastAsia="Arial" w:hAnsi="Arial"/>
          <w:b w:val="false"/>
          <w:bCs w:val="false"/>
          <w:i w:val="false"/>
          <w:iCs w:val="false"/>
          <w:color w:val="333333"/>
          <w:sz w:val="21"/>
          <w:szCs w:val="21"/>
        </w:rPr>
        <w:t xml:space="preserve">Le référentiel HAS V2025 est structuré en 3 chapitres, 12 objectifs (4 par chapitre), avec des critères déclinés en 4 à 6 éléments d’évaluation. Le nombre de critères impératifs passe de 17 à 21. Les 5 méthodes d’évaluation (patient traceur, parcours traceur, traceur ciblé, audit système, observation) sont maintenues.</w:t>
      </w:r>
    </w:p>
    <w:p>
      <w:pPr>
        <w:pStyle w:val="Heading3"/>
      </w:pPr>
      <w:r>
        <w:t xml:space="preserve">Structure du Référentiel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326"/>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Chapitre</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Objectifs</w:t>
            </w:r>
          </w:p>
        </w:tc>
        <w:tc>
          <w:tcPr>
            <w:tcW w:type="dxa" w:w="33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Critères clés</w:t>
            </w:r>
          </w:p>
        </w:tc>
      </w:tr>
      <w:tr>
        <w:tc>
          <w:tcPr>
            <w:tcW w:type="dxa" w:w="25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Ch.1 — Le Patient</w:t>
            </w:r>
          </w:p>
        </w:tc>
        <w:tc>
          <w:tcPr>
            <w:tcW w:type="dxa" w:w="32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4 objectifs : droits, parcours, information, expérience</w:t>
            </w:r>
          </w:p>
        </w:tc>
        <w:tc>
          <w:tcPr>
            <w:tcW w:type="dxa" w:w="33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Intimité/dignité, consentement, douleur, sortie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Ch.2 — Les Équipes de Soins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4 objectifs : pratiques, médicaments, risques, secteurs critiques</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Checklist bloc, antibiotiques, chutes, infections</w:t>
            </w:r>
          </w:p>
        </w:tc>
      </w:tr>
      <w:tr>
        <w:tc>
          <w:tcPr>
            <w:tcW w:type="dxa" w:w="25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Ch.3 — L’Établissement</w:t>
            </w:r>
          </w:p>
        </w:tc>
        <w:tc>
          <w:tcPr>
            <w:tcW w:type="dxa" w:w="32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4 objectifs : gouvernance, RH, territoires, SI/numérique</w:t>
            </w:r>
          </w:p>
        </w:tc>
        <w:tc>
          <w:tcPr>
            <w:tcW w:type="dxa" w:w="33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Qualité de vie travail, cybersécurité, écologie</w:t>
            </w:r>
          </w:p>
        </w:tc>
      </w:tr>
    </w:tbl>
    <w:p>
      <w:pPr>
        <w:spacing w:after="80"/>
      </w:pPr>
    </w:p>
    <w:p>
      <w:pPr>
        <w:pStyle w:val="Heading3"/>
      </w:pPr>
      <w:r>
        <w:t xml:space="preserve">21 Critères Impératifs (extrait)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0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Critère</w:t>
            </w:r>
          </w:p>
        </w:tc>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Intitulé</w:t>
            </w:r>
          </w:p>
        </w:tc>
        <w:tc>
          <w:tcPr>
            <w:tcW w:type="dxa" w:w="4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Domaine équivalent AC/JCI</w:t>
            </w:r>
          </w:p>
        </w:tc>
      </w:tr>
      <w:tr>
        <w:tc>
          <w:tcPr>
            <w:tcW w:type="dxa" w:w="12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1.1-01</w:t>
            </w:r>
          </w:p>
        </w:tc>
        <w:tc>
          <w:tcPr>
            <w:tcW w:type="dxa" w:w="3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Respect intimité et dignité</w:t>
            </w:r>
          </w:p>
        </w:tc>
        <w:tc>
          <w:tcPr>
            <w:tcW w:type="dxa" w:w="40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PFR (JCI) / PFE (AC)</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2.2-12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Checklist bloc opératoire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IPSG.4 (JCI) / Communication (AC)</w:t>
            </w:r>
          </w:p>
        </w:tc>
      </w:tr>
      <w:tr>
        <w:tc>
          <w:tcPr>
            <w:tcW w:type="dxa" w:w="12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2.3-01</w:t>
            </w:r>
          </w:p>
        </w:tc>
        <w:tc>
          <w:tcPr>
            <w:tcW w:type="dxa" w:w="3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Identification patient</w:t>
            </w:r>
          </w:p>
        </w:tc>
        <w:tc>
          <w:tcPr>
            <w:tcW w:type="dxa" w:w="40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IPSG.1 (JCI) / Communication (AC)</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2.3-03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Prévention infections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IPSG.5 (JCI) / IPAC (AC)</w:t>
            </w:r>
          </w:p>
        </w:tc>
      </w:tr>
      <w:tr>
        <w:tc>
          <w:tcPr>
            <w:tcW w:type="dxa" w:w="12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2.4-02</w:t>
            </w:r>
          </w:p>
        </w:tc>
        <w:tc>
          <w:tcPr>
            <w:tcW w:type="dxa" w:w="3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Pertinence prescriptions antibiotiques</w:t>
            </w:r>
          </w:p>
        </w:tc>
        <w:tc>
          <w:tcPr>
            <w:tcW w:type="dxa" w:w="40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MMU (JCI) / MM (AC)</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3.3-05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Prévention transferts évitables personnes âgées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PF (AC) / ACC (JCI)</w:t>
            </w:r>
          </w:p>
        </w:tc>
      </w:tr>
      <w:tr>
        <w:tc>
          <w:tcPr>
            <w:tcW w:type="dxa" w:w="12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3.6-02</w:t>
            </w:r>
          </w:p>
        </w:tc>
        <w:tc>
          <w:tcPr>
            <w:tcW w:type="dxa" w:w="3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Maîtrise risques sécurité numérique</w:t>
            </w:r>
          </w:p>
        </w:tc>
        <w:tc>
          <w:tcPr>
            <w:tcW w:type="dxa" w:w="40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HIT (JCI) / nouveau</w:t>
            </w:r>
          </w:p>
        </w:tc>
      </w:tr>
    </w:tbl>
    <w:p>
      <w:pPr>
        <w:spacing w:after="200"/>
      </w:pPr>
    </w:p>
    <w:p>
      <w:pPr>
        <w:pStyle w:val="Heading2"/>
      </w:pPr>
      <w:r>
        <w:t xml:space="preserve">2.4 Matrice de Correspondance Inter-Référentiels</w:t>
      </w:r>
    </w:p>
    <w:p>
      <w:pPr>
        <w:spacing w:after="160" w:line="276"/>
        <w:jc w:val="both"/>
      </w:pPr>
      <w:r>
        <w:rPr>
          <w:rFonts w:ascii="Arial" w:cs="Arial" w:eastAsia="Arial" w:hAnsi="Arial"/>
          <w:b w:val="false"/>
          <w:bCs w:val="false"/>
          <w:i w:val="false"/>
          <w:iCs w:val="false"/>
          <w:color w:val="333333"/>
          <w:sz w:val="21"/>
          <w:szCs w:val="21"/>
        </w:rPr>
        <w:t xml:space="preserve">Le dashboard doit permettre de visualiser les correspondances entre les trois référentiels. Un standard conforme dans un cadre peut couvrir partiellement un standard dans un autre. Cette matrice est la clé de voûte du produit — elle permet à un hôpital visant plusieurs accréditations de mutualiser ses efforts.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2100"/>
        <w:gridCol w:w="2326"/>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Thématique</w:t>
            </w:r>
          </w:p>
        </w:tc>
        <w:tc>
          <w:tcPr>
            <w:tcW w:type="dxa" w:w="2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Accreditation Canada</w:t>
            </w:r>
          </w:p>
        </w:tc>
        <w:tc>
          <w:tcPr>
            <w:tcW w:type="dxa" w:w="2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JCI 8th Ed.</w:t>
            </w:r>
          </w:p>
        </w:tc>
        <w:tc>
          <w:tcPr>
            <w:tcW w:type="dxa" w:w="23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HAS V2025</w:t>
            </w:r>
          </w:p>
        </w:tc>
      </w:tr>
      <w:tr>
        <w:tc>
          <w:tcPr>
            <w:tcW w:type="dxa" w:w="25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Identification patient</w:t>
            </w:r>
          </w:p>
        </w:tc>
        <w:tc>
          <w:tcPr>
            <w:tcW w:type="dxa" w:w="21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ROP Communication</w:t>
            </w:r>
          </w:p>
        </w:tc>
        <w:tc>
          <w:tcPr>
            <w:tcW w:type="dxa" w:w="21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IPSG.1</w:t>
            </w:r>
          </w:p>
        </w:tc>
        <w:tc>
          <w:tcPr>
            <w:tcW w:type="dxa" w:w="23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Critère 2.3-01 (impératif)</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Hygiène des mains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ROP Contrôle Infections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IPSG.5 + PCI</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Critère 2.3-03 (impératif)</w:t>
            </w:r>
          </w:p>
        </w:tc>
      </w:tr>
      <w:tr>
        <w:tc>
          <w:tcPr>
            <w:tcW w:type="dxa" w:w="25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Checklist chirurgicale</w:t>
            </w:r>
          </w:p>
        </w:tc>
        <w:tc>
          <w:tcPr>
            <w:tcW w:type="dxa" w:w="21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ROP Communication</w:t>
            </w:r>
          </w:p>
        </w:tc>
        <w:tc>
          <w:tcPr>
            <w:tcW w:type="dxa" w:w="21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IPSG.4</w:t>
            </w:r>
          </w:p>
        </w:tc>
        <w:tc>
          <w:tcPr>
            <w:tcW w:type="dxa" w:w="23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Critère 2.2-12 (impératif)</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Réconciliation médicaments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ROP Communication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MMU.7</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Critère 2.4-xx</w:t>
            </w:r>
          </w:p>
        </w:tc>
      </w:tr>
      <w:tr>
        <w:tc>
          <w:tcPr>
            <w:tcW w:type="dxa" w:w="25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Prévention chutes</w:t>
            </w:r>
          </w:p>
        </w:tc>
        <w:tc>
          <w:tcPr>
            <w:tcW w:type="dxa" w:w="21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ROP Évaluation Risques</w:t>
            </w:r>
          </w:p>
        </w:tc>
        <w:tc>
          <w:tcPr>
            <w:tcW w:type="dxa" w:w="21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IPSG.6</w:t>
            </w:r>
          </w:p>
        </w:tc>
        <w:tc>
          <w:tcPr>
            <w:tcW w:type="dxa" w:w="23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Critère 2.3-xx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Gestion médicaments haute alerte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ROP Médicaments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IPSG.3 + MMU</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Critère 2.4-xx</w:t>
            </w:r>
          </w:p>
        </w:tc>
      </w:tr>
      <w:tr>
        <w:tc>
          <w:tcPr>
            <w:tcW w:type="dxa" w:w="25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Déclaration incidents</w:t>
            </w:r>
          </w:p>
        </w:tc>
        <w:tc>
          <w:tcPr>
            <w:tcW w:type="dxa" w:w="21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ROP Culture Sécurité</w:t>
            </w:r>
          </w:p>
        </w:tc>
        <w:tc>
          <w:tcPr>
            <w:tcW w:type="dxa" w:w="21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QPS + PS</w:t>
            </w:r>
          </w:p>
        </w:tc>
        <w:tc>
          <w:tcPr>
            <w:tcW w:type="dxa" w:w="23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Critère 3.1-xx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Gouvernance qualité</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GOV + QI</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GLD + QPS</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Chapitre 3 (gouvernance)</w:t>
            </w:r>
          </w:p>
        </w:tc>
      </w:tr>
      <w:tr>
        <w:tc>
          <w:tcPr>
            <w:tcW w:type="dxa" w:w="25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Cybersécurité / SI</w:t>
            </w:r>
          </w:p>
        </w:tc>
        <w:tc>
          <w:tcPr>
            <w:tcW w:type="dxa" w:w="21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N/A</w:t>
            </w:r>
          </w:p>
        </w:tc>
        <w:tc>
          <w:tcPr>
            <w:tcW w:type="dxa" w:w="21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HIT (nouveau ch.)</w:t>
            </w:r>
          </w:p>
        </w:tc>
        <w:tc>
          <w:tcPr>
            <w:tcW w:type="dxa" w:w="23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Critère 3.6-02 (impératif)</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Durabilité environnementale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N/A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GHI (nouveau ch.)</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Critère 3.4-02/03</w:t>
            </w:r>
          </w:p>
        </w:tc>
      </w:tr>
    </w:tbl>
    <w:p>
      <w:r>
        <w:br w:type="page"/>
      </w:r>
    </w:p>
    <w:p>
      <w:pPr>
        <w:pStyle w:val="Heading1"/>
      </w:pPr>
      <w:r>
        <w:t xml:space="preserve">3. Modèle de Données</w:t>
      </w:r>
    </w:p>
    <w:p>
      <w:pPr>
        <w:pStyle w:val="Heading2"/>
      </w:pPr>
      <w:r>
        <w:t xml:space="preserve">3.1 Schéma de Base de Données</w:t>
      </w:r>
    </w:p>
    <w:p>
      <w:pPr>
        <w:spacing w:after="160" w:line="276"/>
        <w:jc w:val="both"/>
      </w:pPr>
      <w:r>
        <w:rPr>
          <w:rFonts w:ascii="Arial" w:cs="Arial" w:eastAsia="Arial" w:hAnsi="Arial"/>
          <w:b w:val="false"/>
          <w:bCs w:val="false"/>
          <w:i w:val="false"/>
          <w:iCs w:val="false"/>
          <w:color w:val="333333"/>
          <w:sz w:val="21"/>
          <w:szCs w:val="21"/>
        </w:rPr>
        <w:t xml:space="preserve">Le modèle relationnel est conçu pour supporter les trois référentiels simultanément, avec un système de mapping inter-référentiels. Base de données cible : PostgreSQL (compatible avec Antigravity).</w:t>
      </w:r>
    </w:p>
    <w:p>
      <w:pPr>
        <w:pStyle w:val="Heading3"/>
      </w:pPr>
      <w:r>
        <w:t xml:space="preserve">Tables Principales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426"/>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Table</w:t>
            </w:r>
          </w:p>
        </w:tc>
        <w:tc>
          <w:tcPr>
            <w:tcW w:type="dxa" w:w="4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Colonnes clés</w:t>
            </w:r>
          </w:p>
        </w:tc>
        <w:tc>
          <w:tcPr>
            <w:tcW w:type="dxa" w:w="24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Relations</w:t>
            </w:r>
          </w:p>
        </w:tc>
      </w:tr>
      <w:tr>
        <w:tc>
          <w:tcPr>
            <w:tcW w:type="dxa" w:w="22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frameworks</w:t>
            </w:r>
          </w:p>
        </w:tc>
        <w:tc>
          <w:tcPr>
            <w:tcW w:type="dxa" w:w="44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id, name (AC/JCI/HAS), version, active</w:t>
            </w:r>
          </w:p>
        </w:tc>
        <w:tc>
          <w:tcPr>
            <w:tcW w:type="dxa" w:w="24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1:N → domains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domains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id, framework_id, code, name, description, weight</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1:N → standards</w:t>
            </w:r>
          </w:p>
        </w:tc>
      </w:tr>
      <w:tr>
        <w:tc>
          <w:tcPr>
            <w:tcW w:type="dxa" w:w="22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standards</w:t>
            </w:r>
          </w:p>
        </w:tc>
        <w:tc>
          <w:tcPr>
            <w:tcW w:type="dxa" w:w="44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id, domain_id, code, title, description, priority (ROP/high/normal/imperatif)</w:t>
            </w:r>
          </w:p>
        </w:tc>
        <w:tc>
          <w:tcPr>
            <w:tcW w:type="dxa" w:w="24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1:N → criteria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criteria</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id, standard_id, code, description, evidence_required</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N:N → criteria_mappings</w:t>
            </w:r>
          </w:p>
        </w:tc>
      </w:tr>
      <w:tr>
        <w:tc>
          <w:tcPr>
            <w:tcW w:type="dxa" w:w="22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criteria_mappings</w:t>
            </w:r>
          </w:p>
        </w:tc>
        <w:tc>
          <w:tcPr>
            <w:tcW w:type="dxa" w:w="44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id, criteria_id_source, criteria_id_target, mapping_type (full/partial)</w:t>
            </w:r>
          </w:p>
        </w:tc>
        <w:tc>
          <w:tcPr>
            <w:tcW w:type="dxa" w:w="24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Correspondances inter-référentiels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assessments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id, criteria_id, department_id, status (conforme/partiel/non-conforme/NA), assessed_by, assessed_at, evidence_ids</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1:N → evidence_files</w:t>
            </w:r>
          </w:p>
        </w:tc>
      </w:tr>
      <w:tr>
        <w:tc>
          <w:tcPr>
            <w:tcW w:type="dxa" w:w="22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evidence_files</w:t>
            </w:r>
          </w:p>
        </w:tc>
        <w:tc>
          <w:tcPr>
            <w:tcW w:type="dxa" w:w="44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id, assessment_id, file_path, file_type, uploaded_by, uploaded_at, validated</w:t>
            </w:r>
          </w:p>
        </w:tc>
        <w:tc>
          <w:tcPr>
            <w:tcW w:type="dxa" w:w="24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Preuves documentaires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departments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id, name, code, head_name, head_email</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1:N → assessments</w:t>
            </w:r>
          </w:p>
        </w:tc>
      </w:tr>
      <w:tr>
        <w:tc>
          <w:tcPr>
            <w:tcW w:type="dxa" w:w="22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action_plans</w:t>
            </w:r>
          </w:p>
        </w:tc>
        <w:tc>
          <w:tcPr>
            <w:tcW w:type="dxa" w:w="44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id, assessment_id, description, responsible, deadline, status, priority</w:t>
            </w:r>
          </w:p>
        </w:tc>
        <w:tc>
          <w:tcPr>
            <w:tcW w:type="dxa" w:w="24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Plans correctifs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kpi_snapshots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id, kpi_code, value, measured_at, department_id, source (excel/his/manual)</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Historique KPIs</w:t>
            </w:r>
          </w:p>
        </w:tc>
      </w:tr>
      <w:tr>
        <w:tc>
          <w:tcPr>
            <w:tcW w:type="dxa" w:w="22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data_imports</w:t>
            </w:r>
          </w:p>
        </w:tc>
        <w:tc>
          <w:tcPr>
            <w:tcW w:type="dxa" w:w="44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id, source_type (excel/his), file_name, imported_by, imported_at, rows_processed, errors</w:t>
            </w:r>
          </w:p>
        </w:tc>
        <w:tc>
          <w:tcPr>
            <w:tcW w:type="dxa" w:w="24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Traçabilité imports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users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id, name, email, role (admin/quality/dept_head/viewer), department_id</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Accès et permissions</w:t>
            </w:r>
          </w:p>
        </w:tc>
      </w:tr>
    </w:tbl>
    <w:p>
      <w:pPr>
        <w:spacing w:after="200"/>
      </w:pPr>
    </w:p>
    <w:p>
      <w:pPr>
        <w:pStyle w:val="Heading2"/>
      </w:pPr>
      <w:r>
        <w:t xml:space="preserve">3.2 Sources de Données et Intégrations</w:t>
      </w:r>
    </w:p>
    <w:p>
      <w:pPr>
        <w:pStyle w:val="Heading3"/>
      </w:pPr>
      <w:r>
        <w:t xml:space="preserve">Import Excel/CSV</w:t>
      </w:r>
    </w:p>
    <w:p>
      <w:pPr>
        <w:spacing w:after="160" w:line="276"/>
        <w:jc w:val="both"/>
      </w:pPr>
      <w:r>
        <w:rPr>
          <w:rFonts w:ascii="Arial" w:cs="Arial" w:eastAsia="Arial" w:hAnsi="Arial"/>
          <w:b w:val="false"/>
          <w:bCs w:val="false"/>
          <w:i w:val="false"/>
          <w:iCs w:val="false"/>
          <w:color w:val="333333"/>
          <w:sz w:val="21"/>
          <w:szCs w:val="21"/>
        </w:rPr>
        <w:t xml:space="preserve">Le système accepte des fichiers Excel structurés avec des templates prédéfinis. Chaque template correspond à un type de données (audits IPAC, incidents, médicaments, etc.). Le système valide le format, détecte les erreurs, et propose une prévisualisation avant import.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026"/>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Template Excel</w:t>
            </w:r>
          </w:p>
        </w:tc>
        <w:tc>
          <w:tcPr>
            <w:tcW w:type="dxa" w:w="4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Colonnes attendues</w:t>
            </w:r>
          </w:p>
        </w:tc>
        <w:tc>
          <w:tcPr>
            <w:tcW w:type="dxa" w:w="2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Fréquence import</w:t>
            </w:r>
          </w:p>
        </w:tc>
      </w:tr>
      <w:tr>
        <w:tc>
          <w:tcPr>
            <w:tcW w:type="dxa" w:w="26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audit_ipac.xlsx</w:t>
            </w:r>
          </w:p>
        </w:tc>
        <w:tc>
          <w:tcPr>
            <w:tcW w:type="dxa" w:w="44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date, service, item_audit, conforme (O/N), observateur, commentaire</w:t>
            </w:r>
          </w:p>
        </w:tc>
        <w:tc>
          <w:tcPr>
            <w:tcW w:type="dxa" w:w="20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Mensuel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incidents.xlsx</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date, type, gravité, service, description, action_corrective, statut</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Continu</w:t>
            </w:r>
          </w:p>
        </w:tc>
      </w:tr>
      <w:tr>
        <w:tc>
          <w:tcPr>
            <w:tcW w:type="dxa" w:w="26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medications.xlsx</w:t>
            </w:r>
          </w:p>
        </w:tc>
        <w:tc>
          <w:tcPr>
            <w:tcW w:type="dxa" w:w="44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date, type_erreur, médicament, service, patient_id_anon, issue, résolution</w:t>
            </w:r>
          </w:p>
        </w:tc>
        <w:tc>
          <w:tcPr>
            <w:tcW w:type="dxa" w:w="20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Mensuel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hand_hygiene.xlsx</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date, service, observations, conformes, taux</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Hebdomadaire</w:t>
            </w:r>
          </w:p>
        </w:tc>
      </w:tr>
      <w:tr>
        <w:tc>
          <w:tcPr>
            <w:tcW w:type="dxa" w:w="26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surgical_checklist.xlsx</w:t>
            </w:r>
          </w:p>
        </w:tc>
        <w:tc>
          <w:tcPr>
            <w:tcW w:type="dxa" w:w="44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date, salle, chirurgien, checklist_complete (O/N), items_manquants</w:t>
            </w:r>
          </w:p>
        </w:tc>
        <w:tc>
          <w:tcPr>
            <w:tcW w:type="dxa" w:w="20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Par intervention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patient_falls.xlsx</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date, service, patient_id_anon, gravité, évaluation_risque_faite (O/N)</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Continu</w:t>
            </w:r>
          </w:p>
        </w:tc>
      </w:tr>
      <w:tr>
        <w:tc>
          <w:tcPr>
            <w:tcW w:type="dxa" w:w="26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nosocomial_infections.xlsx</w:t>
            </w:r>
          </w:p>
        </w:tc>
        <w:tc>
          <w:tcPr>
            <w:tcW w:type="dxa" w:w="44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date, type_infection, service, germe, lié_dispositif (O/N)</w:t>
            </w:r>
          </w:p>
        </w:tc>
        <w:tc>
          <w:tcPr>
            <w:tcW w:type="dxa" w:w="20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Mensuel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satisfaction_patient.xlsx</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date, service, score_global, commentaires, recommandation</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Trimestriel</w:t>
            </w:r>
          </w:p>
        </w:tc>
      </w:tr>
    </w:tbl>
    <w:p>
      <w:pPr>
        <w:spacing w:after="100"/>
      </w:pPr>
    </w:p>
    <w:p>
      <w:pPr>
        <w:pStyle w:val="Heading3"/>
      </w:pPr>
      <w:r>
        <w:t xml:space="preserve">Connexion HIS (Hospital Information System)</w:t>
      </w:r>
    </w:p>
    <w:p>
      <w:pPr>
        <w:spacing w:after="160" w:line="276"/>
        <w:jc w:val="both"/>
      </w:pPr>
      <w:r>
        <w:rPr>
          <w:rFonts w:ascii="Arial" w:cs="Arial" w:eastAsia="Arial" w:hAnsi="Arial"/>
          <w:b w:val="false"/>
          <w:bCs w:val="false"/>
          <w:i w:val="false"/>
          <w:iCs w:val="false"/>
          <w:color w:val="333333"/>
          <w:sz w:val="21"/>
          <w:szCs w:val="21"/>
        </w:rPr>
        <w:t xml:space="preserve">L’intégration HIS se fait via une API REST ou un connecteur HL7 FHIR R4. Le système interroge le HIS à intervalle régulier (configurable : 15min à 24h) pour extraire les données opérationnelles. Aucune donnée patient nominative n’est stockée — seuls les agrégats et indicateurs anonymisés sont importés.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026"/>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Source HIS</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Données extraites</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Standard</w:t>
            </w:r>
          </w:p>
        </w:tc>
        <w:tc>
          <w:tcPr>
            <w:tcW w:type="dxa" w:w="2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KPIs alimentés</w:t>
            </w:r>
          </w:p>
        </w:tc>
      </w:tr>
      <w:tr>
        <w:tc>
          <w:tcPr>
            <w:tcW w:type="dxa" w:w="20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Admissions/Sorties (ADT)</w:t>
            </w:r>
          </w:p>
        </w:tc>
        <w:tc>
          <w:tcPr>
            <w:tcW w:type="dxa" w:w="26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Volumes, DMS, taux occupation</w:t>
            </w:r>
          </w:p>
        </w:tc>
        <w:tc>
          <w:tcPr>
            <w:tcW w:type="dxa" w:w="24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HL7 ADT / FHIR Encounter</w:t>
            </w:r>
          </w:p>
        </w:tc>
        <w:tc>
          <w:tcPr>
            <w:tcW w:type="dxa" w:w="20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Flux patient, occupation lits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Bloc Opératoire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Interventions, durées, annulations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FHIR Procedure</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Utilisation bloc, checklist</w:t>
            </w:r>
          </w:p>
        </w:tc>
      </w:tr>
      <w:tr>
        <w:tc>
          <w:tcPr>
            <w:tcW w:type="dxa" w:w="20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Pharmacie</w:t>
            </w:r>
          </w:p>
        </w:tc>
        <w:tc>
          <w:tcPr>
            <w:tcW w:type="dxa" w:w="26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Prescriptions, dispensations, erreurs</w:t>
            </w:r>
          </w:p>
        </w:tc>
        <w:tc>
          <w:tcPr>
            <w:tcW w:type="dxa" w:w="24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FHIR MedicationRequest</w:t>
            </w:r>
          </w:p>
        </w:tc>
        <w:tc>
          <w:tcPr>
            <w:tcW w:type="dxa" w:w="20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Erreurs méd., réconciliation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Laboratoire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Résultats bactério, antibiogrammes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FHIR Observation / HL7 ORU</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Infections, résistances</w:t>
            </w:r>
          </w:p>
        </w:tc>
      </w:tr>
      <w:tr>
        <w:tc>
          <w:tcPr>
            <w:tcW w:type="dxa" w:w="20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Urgences</w:t>
            </w:r>
          </w:p>
        </w:tc>
        <w:tc>
          <w:tcPr>
            <w:tcW w:type="dxa" w:w="26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Passages, temps attente, orientation</w:t>
            </w:r>
          </w:p>
        </w:tc>
        <w:tc>
          <w:tcPr>
            <w:tcW w:type="dxa" w:w="24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FHIR Encounter</w:t>
            </w:r>
          </w:p>
        </w:tc>
        <w:tc>
          <w:tcPr>
            <w:tcW w:type="dxa" w:w="20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Temps attente, flux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DPI (Dossier Patient)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Complétude dossier, consentements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FHIR Patient / DocumentRef</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Identification, consentement</w:t>
            </w:r>
          </w:p>
        </w:tc>
      </w:tr>
    </w:tbl>
    <w:p>
      <w:r>
        <w:br w:type="page"/>
      </w:r>
    </w:p>
    <w:p>
      <w:pPr>
        <w:pStyle w:val="Heading1"/>
      </w:pPr>
      <w:r>
        <w:t xml:space="preserve">4. Catalogue des KPIs</w:t>
      </w:r>
    </w:p>
    <w:p>
      <w:pPr>
        <w:spacing w:after="160" w:line="276"/>
        <w:jc w:val="both"/>
      </w:pPr>
      <w:r>
        <w:rPr>
          <w:rFonts w:ascii="Arial" w:cs="Arial" w:eastAsia="Arial" w:hAnsi="Arial"/>
          <w:b w:val="false"/>
          <w:bCs w:val="false"/>
          <w:i w:val="false"/>
          <w:iCs w:val="false"/>
          <w:color w:val="333333"/>
          <w:sz w:val="21"/>
          <w:szCs w:val="21"/>
        </w:rPr>
        <w:t xml:space="preserve">Chaque KPI est défini avec : un code unique, une formule de calcul, un seuil de conformité (vert/orange/rouge), une source de données, et un mapping vers les référentiels concernés. Les seuils sont basés sur les benchmarks internationaux et les exigences spécifiques de chaque cadre d’accréditation.</w:t>
      </w:r>
    </w:p>
    <w:p>
      <w:pPr>
        <w:pStyle w:val="Heading2"/>
      </w:pPr>
      <w:r>
        <w:t xml:space="preserve">4.1 KPIs Infection Prevention &amp; Control (IPAC)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000"/>
        <w:gridCol w:w="800"/>
        <w:gridCol w:w="1000"/>
        <w:gridCol w:w="800"/>
        <w:gridCol w:w="1626"/>
      </w:tblGrid>
      <w:t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Code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KPI</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Formule</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Vert</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Orange</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Rouge</w:t>
            </w:r>
          </w:p>
        </w:tc>
        <w:tc>
          <w:tcPr>
            <w:tcW w:type="dxa" w:w="16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Référentiels</w:t>
            </w:r>
          </w:p>
        </w:tc>
      </w:tr>
      <w:tr>
        <w:tc>
          <w:tcPr>
            <w:tcW w:type="dxa" w:w="10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IPAC-01</w:t>
            </w:r>
          </w:p>
        </w:tc>
        <w:tc>
          <w:tcPr>
            <w:tcW w:type="dxa" w:w="1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Taux conformité hygiène mains</w:t>
            </w:r>
          </w:p>
        </w:tc>
        <w:tc>
          <w:tcPr>
            <w:tcW w:type="dxa" w:w="20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Observations conformes / Total observations × 100</w:t>
            </w:r>
          </w:p>
        </w:tc>
        <w:tc>
          <w:tcPr>
            <w:tcW w:type="dxa" w:w="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 85%</w:t>
            </w:r>
          </w:p>
        </w:tc>
        <w:tc>
          <w:tcPr>
            <w:tcW w:type="dxa" w:w="10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70–84%</w:t>
            </w:r>
          </w:p>
        </w:tc>
        <w:tc>
          <w:tcPr>
            <w:tcW w:type="dxa" w:w="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&lt; 70%</w:t>
            </w:r>
          </w:p>
        </w:tc>
        <w:tc>
          <w:tcPr>
            <w:tcW w:type="dxa" w:w="16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AC + JCI + HAS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IPAC-02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Taux infections nosocomiales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Infections / 1000 jours-patient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 3.0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3.1–5.0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&gt; 5.0</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AC + JCI + HAS</w:t>
            </w:r>
          </w:p>
        </w:tc>
      </w:tr>
      <w:tr>
        <w:tc>
          <w:tcPr>
            <w:tcW w:type="dxa" w:w="10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IPAC-03</w:t>
            </w:r>
          </w:p>
        </w:tc>
        <w:tc>
          <w:tcPr>
            <w:tcW w:type="dxa" w:w="1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Taux infections site opératoire</w:t>
            </w:r>
          </w:p>
        </w:tc>
        <w:tc>
          <w:tcPr>
            <w:tcW w:type="dxa" w:w="20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ISO / Total interventions × 100</w:t>
            </w:r>
          </w:p>
        </w:tc>
        <w:tc>
          <w:tcPr>
            <w:tcW w:type="dxa" w:w="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 1.5%</w:t>
            </w:r>
          </w:p>
        </w:tc>
        <w:tc>
          <w:tcPr>
            <w:tcW w:type="dxa" w:w="10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1.6–3.0%</w:t>
            </w:r>
          </w:p>
        </w:tc>
        <w:tc>
          <w:tcPr>
            <w:tcW w:type="dxa" w:w="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&gt; 3.0%</w:t>
            </w:r>
          </w:p>
        </w:tc>
        <w:tc>
          <w:tcPr>
            <w:tcW w:type="dxa" w:w="16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AC + JCI + HAS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IPAC-04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Taux infections liées cathéters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CLABSI / 1000 jours-cathéter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 1.0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1.1–2.5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&gt; 2.5</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AC + JCI</w:t>
            </w:r>
          </w:p>
        </w:tc>
      </w:tr>
      <w:tr>
        <w:tc>
          <w:tcPr>
            <w:tcW w:type="dxa" w:w="10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IPAC-05</w:t>
            </w:r>
          </w:p>
        </w:tc>
        <w:tc>
          <w:tcPr>
            <w:tcW w:type="dxa" w:w="1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 personnel formé PCI</w:t>
            </w:r>
          </w:p>
        </w:tc>
        <w:tc>
          <w:tcPr>
            <w:tcW w:type="dxa" w:w="20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Personnel formé / Total × 100</w:t>
            </w:r>
          </w:p>
        </w:tc>
        <w:tc>
          <w:tcPr>
            <w:tcW w:type="dxa" w:w="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 95%</w:t>
            </w:r>
          </w:p>
        </w:tc>
        <w:tc>
          <w:tcPr>
            <w:tcW w:type="dxa" w:w="10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80–94%</w:t>
            </w:r>
          </w:p>
        </w:tc>
        <w:tc>
          <w:tcPr>
            <w:tcW w:type="dxa" w:w="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&lt; 80%</w:t>
            </w:r>
          </w:p>
        </w:tc>
        <w:tc>
          <w:tcPr>
            <w:tcW w:type="dxa" w:w="16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AC + JCI + HAS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IPAC-06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Délai signalement épidémie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Heures entre détection et signalement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 2h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2–12h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&gt; 12h</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AC + JCI</w:t>
            </w:r>
          </w:p>
        </w:tc>
      </w:tr>
    </w:tbl>
    <w:p>
      <w:pPr>
        <w:spacing w:after="100"/>
      </w:pPr>
    </w:p>
    <w:p>
      <w:pPr>
        <w:pStyle w:val="Heading2"/>
      </w:pPr>
      <w:r>
        <w:t xml:space="preserve">4.2 KPIs Sécurité Patient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800"/>
        <w:gridCol w:w="800"/>
        <w:gridCol w:w="1000"/>
        <w:gridCol w:w="800"/>
        <w:gridCol w:w="1726"/>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Code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KPI</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Formule</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Vert</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Orange</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Rouge</w:t>
            </w:r>
          </w:p>
        </w:tc>
        <w:tc>
          <w:tcPr>
            <w:tcW w:type="dxa" w:w="17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Référentiels</w:t>
            </w:r>
          </w:p>
        </w:tc>
      </w:tr>
      <w:tr>
        <w:tc>
          <w:tcPr>
            <w:tcW w:type="dxa" w:w="9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PS-01</w:t>
            </w:r>
          </w:p>
        </w:tc>
        <w:tc>
          <w:tcPr>
            <w:tcW w:type="dxa" w:w="20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Taux identification patient (2 ID)</w:t>
            </w:r>
          </w:p>
        </w:tc>
        <w:tc>
          <w:tcPr>
            <w:tcW w:type="dxa" w:w="1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Vérifications conformes / Total × 100</w:t>
            </w:r>
          </w:p>
        </w:tc>
        <w:tc>
          <w:tcPr>
            <w:tcW w:type="dxa" w:w="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 98%</w:t>
            </w:r>
          </w:p>
        </w:tc>
        <w:tc>
          <w:tcPr>
            <w:tcW w:type="dxa" w:w="10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90–97%</w:t>
            </w:r>
          </w:p>
        </w:tc>
        <w:tc>
          <w:tcPr>
            <w:tcW w:type="dxa" w:w="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&lt; 90%</w:t>
            </w:r>
          </w:p>
        </w:tc>
        <w:tc>
          <w:tcPr>
            <w:tcW w:type="dxa" w:w="17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AC + JCI + HAS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PS-02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Taux checklist chirurgicale complète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Checklists complètes / Total interventions × 100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 95%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85–94%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&lt; 85%</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AC + JCI + HAS</w:t>
            </w:r>
          </w:p>
        </w:tc>
      </w:tr>
      <w:tr>
        <w:tc>
          <w:tcPr>
            <w:tcW w:type="dxa" w:w="9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PS-03</w:t>
            </w:r>
          </w:p>
        </w:tc>
        <w:tc>
          <w:tcPr>
            <w:tcW w:type="dxa" w:w="20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Taux chutes / 1000 jours-patient</w:t>
            </w:r>
          </w:p>
        </w:tc>
        <w:tc>
          <w:tcPr>
            <w:tcW w:type="dxa" w:w="1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Chutes / 1000 jours-patient</w:t>
            </w:r>
          </w:p>
        </w:tc>
        <w:tc>
          <w:tcPr>
            <w:tcW w:type="dxa" w:w="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 3.0</w:t>
            </w:r>
          </w:p>
        </w:tc>
        <w:tc>
          <w:tcPr>
            <w:tcW w:type="dxa" w:w="10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3.1–6.0</w:t>
            </w:r>
          </w:p>
        </w:tc>
        <w:tc>
          <w:tcPr>
            <w:tcW w:type="dxa" w:w="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&gt; 6.0</w:t>
            </w:r>
          </w:p>
        </w:tc>
        <w:tc>
          <w:tcPr>
            <w:tcW w:type="dxa" w:w="17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AC + JCI + HAS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PS-04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Taux déclaration incidents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Incidents déclarés / Incidents estimés × 100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 80%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50–79%</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&lt; 50%</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AC + JCI + HAS</w:t>
            </w:r>
          </w:p>
        </w:tc>
      </w:tr>
      <w:tr>
        <w:tc>
          <w:tcPr>
            <w:tcW w:type="dxa" w:w="9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PS-05</w:t>
            </w:r>
          </w:p>
        </w:tc>
        <w:tc>
          <w:tcPr>
            <w:tcW w:type="dxa" w:w="20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Taux erreurs médicamenteuses</w:t>
            </w:r>
          </w:p>
        </w:tc>
        <w:tc>
          <w:tcPr>
            <w:tcW w:type="dxa" w:w="1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Erreurs / 1000 prescriptions</w:t>
            </w:r>
          </w:p>
        </w:tc>
        <w:tc>
          <w:tcPr>
            <w:tcW w:type="dxa" w:w="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 1.0</w:t>
            </w:r>
          </w:p>
        </w:tc>
        <w:tc>
          <w:tcPr>
            <w:tcW w:type="dxa" w:w="10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1.1–3.0</w:t>
            </w:r>
          </w:p>
        </w:tc>
        <w:tc>
          <w:tcPr>
            <w:tcW w:type="dxa" w:w="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&gt; 3.0</w:t>
            </w:r>
          </w:p>
        </w:tc>
        <w:tc>
          <w:tcPr>
            <w:tcW w:type="dxa" w:w="17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AC + JCI + HAS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PS-06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Taux réconciliation méd. à l’admission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Réconciliations / Admissions × 100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 90%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70–89%</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&lt; 70%</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AC + JCI + HAS</w:t>
            </w:r>
          </w:p>
        </w:tc>
      </w:tr>
      <w:tr>
        <w:tc>
          <w:tcPr>
            <w:tcW w:type="dxa" w:w="9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PS-07</w:t>
            </w:r>
          </w:p>
        </w:tc>
        <w:tc>
          <w:tcPr>
            <w:tcW w:type="dxa" w:w="20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Événements sentinelles</w:t>
            </w:r>
          </w:p>
        </w:tc>
        <w:tc>
          <w:tcPr>
            <w:tcW w:type="dxa" w:w="1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Nombre absolu / trimestre</w:t>
            </w:r>
          </w:p>
        </w:tc>
        <w:tc>
          <w:tcPr>
            <w:tcW w:type="dxa" w:w="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0</w:t>
            </w:r>
          </w:p>
        </w:tc>
        <w:tc>
          <w:tcPr>
            <w:tcW w:type="dxa" w:w="10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1</w:t>
            </w:r>
          </w:p>
        </w:tc>
        <w:tc>
          <w:tcPr>
            <w:tcW w:type="dxa" w:w="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 2</w:t>
            </w:r>
          </w:p>
        </w:tc>
        <w:tc>
          <w:tcPr>
            <w:tcW w:type="dxa" w:w="17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JCI</w:t>
            </w:r>
          </w:p>
        </w:tc>
      </w:tr>
    </w:tbl>
    <w:p>
      <w:pPr>
        <w:spacing w:after="100"/>
      </w:pPr>
    </w:p>
    <w:p>
      <w:pPr>
        <w:pStyle w:val="Heading2"/>
      </w:pPr>
      <w:r>
        <w:t xml:space="preserve">4.3 KPIs Opérationnels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000"/>
        <w:gridCol w:w="900"/>
        <w:gridCol w:w="1100"/>
        <w:gridCol w:w="900"/>
        <w:gridCol w:w="1226"/>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Code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KPI</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Formule</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Vert</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Orange</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Rouge</w:t>
            </w:r>
          </w:p>
        </w:tc>
        <w:tc>
          <w:tcPr>
            <w:tcW w:type="dxa" w:w="1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Référentiels</w:t>
            </w:r>
          </w:p>
        </w:tc>
      </w:tr>
      <w:tr>
        <w:tc>
          <w:tcPr>
            <w:tcW w:type="dxa" w:w="9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OP-01</w:t>
            </w:r>
          </w:p>
        </w:tc>
        <w:tc>
          <w:tcPr>
            <w:tcW w:type="dxa" w:w="20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Taux occupation lits</w:t>
            </w:r>
          </w:p>
        </w:tc>
        <w:tc>
          <w:tcPr>
            <w:tcW w:type="dxa" w:w="20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Lits occupés / Lits disponibles × 100</w:t>
            </w:r>
          </w:p>
        </w:tc>
        <w:tc>
          <w:tcPr>
            <w:tcW w:type="dxa" w:w="9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75–90%</w:t>
            </w:r>
          </w:p>
        </w:tc>
        <w:tc>
          <w:tcPr>
            <w:tcW w:type="dxa" w:w="11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91–95% ou &lt;74%</w:t>
            </w:r>
          </w:p>
        </w:tc>
        <w:tc>
          <w:tcPr>
            <w:tcW w:type="dxa" w:w="9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&gt; 95% ou &lt; 60%</w:t>
            </w:r>
          </w:p>
        </w:tc>
        <w:tc>
          <w:tcPr>
            <w:tcW w:type="dxa" w:w="12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AC + JCI</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OP-02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DMS (durée moyenne séjour)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Total jours / Total patients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 benchmark spécialité</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+10–20%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+&gt;20%</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AC + JCI + HAS</w:t>
            </w:r>
          </w:p>
        </w:tc>
      </w:tr>
      <w:tr>
        <w:tc>
          <w:tcPr>
            <w:tcW w:type="dxa" w:w="9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OP-03</w:t>
            </w:r>
          </w:p>
        </w:tc>
        <w:tc>
          <w:tcPr>
            <w:tcW w:type="dxa" w:w="20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Taux annulation chirurgicale</w:t>
            </w:r>
          </w:p>
        </w:tc>
        <w:tc>
          <w:tcPr>
            <w:tcW w:type="dxa" w:w="20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Annulations / Programmées × 100</w:t>
            </w:r>
          </w:p>
        </w:tc>
        <w:tc>
          <w:tcPr>
            <w:tcW w:type="dxa" w:w="9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 2%</w:t>
            </w:r>
          </w:p>
        </w:tc>
        <w:tc>
          <w:tcPr>
            <w:tcW w:type="dxa" w:w="11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2.1–5%</w:t>
            </w:r>
          </w:p>
        </w:tc>
        <w:tc>
          <w:tcPr>
            <w:tcW w:type="dxa" w:w="9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&gt; 5%</w:t>
            </w:r>
          </w:p>
        </w:tc>
        <w:tc>
          <w:tcPr>
            <w:tcW w:type="dxa" w:w="12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AC</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OP-04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Utilisation bloc opératoire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Temps utilisé / Temps disponible × 100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 85%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70–84%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&lt; 70%</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AC</w:t>
            </w:r>
          </w:p>
        </w:tc>
      </w:tr>
      <w:tr>
        <w:tc>
          <w:tcPr>
            <w:tcW w:type="dxa" w:w="9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OP-05</w:t>
            </w:r>
          </w:p>
        </w:tc>
        <w:tc>
          <w:tcPr>
            <w:tcW w:type="dxa" w:w="20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Temps attente urgences (médian)</w:t>
            </w:r>
          </w:p>
        </w:tc>
        <w:tc>
          <w:tcPr>
            <w:tcW w:type="dxa" w:w="20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Médiane temps entrée → PEC</w:t>
            </w:r>
          </w:p>
        </w:tc>
        <w:tc>
          <w:tcPr>
            <w:tcW w:type="dxa" w:w="9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 30 min</w:t>
            </w:r>
          </w:p>
        </w:tc>
        <w:tc>
          <w:tcPr>
            <w:tcW w:type="dxa" w:w="11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31–60 min</w:t>
            </w:r>
          </w:p>
        </w:tc>
        <w:tc>
          <w:tcPr>
            <w:tcW w:type="dxa" w:w="9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&gt; 60 min</w:t>
            </w:r>
          </w:p>
        </w:tc>
        <w:tc>
          <w:tcPr>
            <w:tcW w:type="dxa" w:w="12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AC + JCI + HAS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OP-06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Satisfaction patient (score global)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Score moyen enquête / 10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 8.0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6.0–7.9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&lt; 6.0</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AC + JCI + HAS</w:t>
            </w:r>
          </w:p>
        </w:tc>
      </w:tr>
    </w:tbl>
    <w:p>
      <w:pPr>
        <w:spacing w:after="100"/>
      </w:pPr>
    </w:p>
    <w:p>
      <w:pPr>
        <w:pStyle w:val="Heading2"/>
      </w:pPr>
      <w:r>
        <w:t xml:space="preserve">4.4 KPIs Gouvernance &amp; Qualité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000"/>
        <w:gridCol w:w="800"/>
        <w:gridCol w:w="1000"/>
        <w:gridCol w:w="800"/>
        <w:gridCol w:w="1326"/>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Code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KPI</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Formule</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Vert</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Orange</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Rouge</w:t>
            </w:r>
          </w:p>
        </w:tc>
        <w:tc>
          <w:tcPr>
            <w:tcW w:type="dxa" w:w="13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Référentiels</w:t>
            </w:r>
          </w:p>
        </w:tc>
      </w:tr>
      <w:tr>
        <w:tc>
          <w:tcPr>
            <w:tcW w:type="dxa" w:w="9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GQ-01</w:t>
            </w:r>
          </w:p>
        </w:tc>
        <w:tc>
          <w:tcPr>
            <w:tcW w:type="dxa" w:w="22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 standards conformes (par référentiel)</w:t>
            </w:r>
          </w:p>
        </w:tc>
        <w:tc>
          <w:tcPr>
            <w:tcW w:type="dxa" w:w="20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Standards conformes / Total standards × 100</w:t>
            </w:r>
          </w:p>
        </w:tc>
        <w:tc>
          <w:tcPr>
            <w:tcW w:type="dxa" w:w="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 90%</w:t>
            </w:r>
          </w:p>
        </w:tc>
        <w:tc>
          <w:tcPr>
            <w:tcW w:type="dxa" w:w="10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70–89%</w:t>
            </w:r>
          </w:p>
        </w:tc>
        <w:tc>
          <w:tcPr>
            <w:tcW w:type="dxa" w:w="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&lt; 70%</w:t>
            </w:r>
          </w:p>
        </w:tc>
        <w:tc>
          <w:tcPr>
            <w:tcW w:type="dxa" w:w="13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AC + JCI + HAS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GQ-02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 ROPs/impératifs conformes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ROPs conformes / Total ROPs × 100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100%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80–99%</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&lt; 80%</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AC + JCI + HAS</w:t>
            </w:r>
          </w:p>
        </w:tc>
      </w:tr>
      <w:tr>
        <w:tc>
          <w:tcPr>
            <w:tcW w:type="dxa" w:w="9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GQ-03</w:t>
            </w:r>
          </w:p>
        </w:tc>
        <w:tc>
          <w:tcPr>
            <w:tcW w:type="dxa" w:w="22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 actions correctives dans les délais</w:t>
            </w:r>
          </w:p>
        </w:tc>
        <w:tc>
          <w:tcPr>
            <w:tcW w:type="dxa" w:w="20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Fermées à temps / Total × 100</w:t>
            </w:r>
          </w:p>
        </w:tc>
        <w:tc>
          <w:tcPr>
            <w:tcW w:type="dxa" w:w="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 85%</w:t>
            </w:r>
          </w:p>
        </w:tc>
        <w:tc>
          <w:tcPr>
            <w:tcW w:type="dxa" w:w="10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60–84%</w:t>
            </w:r>
          </w:p>
        </w:tc>
        <w:tc>
          <w:tcPr>
            <w:tcW w:type="dxa" w:w="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&lt; 60%</w:t>
            </w:r>
          </w:p>
        </w:tc>
        <w:tc>
          <w:tcPr>
            <w:tcW w:type="dxa" w:w="13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AC + JCI + HAS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GQ-04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 personnel formé qualité/sécurité</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Formés / Total × 100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 90%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70–89%</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&lt; 70%</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AC + JCI + HAS</w:t>
            </w:r>
          </w:p>
        </w:tc>
      </w:tr>
      <w:tr>
        <w:tc>
          <w:tcPr>
            <w:tcW w:type="dxa" w:w="9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GQ-05</w:t>
            </w:r>
          </w:p>
        </w:tc>
        <w:tc>
          <w:tcPr>
            <w:tcW w:type="dxa" w:w="22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Délai moyen résolution non-conformité</w:t>
            </w:r>
          </w:p>
        </w:tc>
        <w:tc>
          <w:tcPr>
            <w:tcW w:type="dxa" w:w="20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Moyenne jours détection → clôture</w:t>
            </w:r>
          </w:p>
        </w:tc>
        <w:tc>
          <w:tcPr>
            <w:tcW w:type="dxa" w:w="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 30j</w:t>
            </w:r>
          </w:p>
        </w:tc>
        <w:tc>
          <w:tcPr>
            <w:tcW w:type="dxa" w:w="10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31–60j</w:t>
            </w:r>
          </w:p>
        </w:tc>
        <w:tc>
          <w:tcPr>
            <w:tcW w:type="dxa" w:w="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&gt; 60j</w:t>
            </w:r>
          </w:p>
        </w:tc>
        <w:tc>
          <w:tcPr>
            <w:tcW w:type="dxa" w:w="13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AC + JCI + HAS</w:t>
            </w:r>
          </w:p>
        </w:tc>
      </w:tr>
    </w:tbl>
    <w:p>
      <w:r>
        <w:br w:type="page"/>
      </w:r>
    </w:p>
    <w:p>
      <w:pPr>
        <w:pStyle w:val="Heading1"/>
      </w:pPr>
      <w:r>
        <w:t xml:space="preserve">5. Architecture Technique</w:t>
      </w:r>
    </w:p>
    <w:p>
      <w:pPr>
        <w:pStyle w:val="Heading2"/>
      </w:pPr>
      <w:r>
        <w:t xml:space="preserve">5.1 Stack Technologique (Antigravity)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Couche</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Technologie</w:t>
            </w:r>
          </w:p>
        </w:tc>
        <w:tc>
          <w:tcPr>
            <w:tcW w:type="dxa" w:w="3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Justification</w:t>
            </w:r>
          </w:p>
        </w:tc>
      </w:tr>
      <w:tr>
        <w:tc>
          <w:tcPr>
            <w:tcW w:type="dxa" w:w="20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Frontend</w:t>
            </w:r>
          </w:p>
        </w:tc>
        <w:tc>
          <w:tcPr>
            <w:tcW w:type="dxa" w:w="32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React + TypeScript + Tailwind CSS</w:t>
            </w:r>
          </w:p>
        </w:tc>
        <w:tc>
          <w:tcPr>
            <w:tcW w:type="dxa" w:w="38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Composants réutilisables, typage fort, design rapide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Graphiques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Recharts + D3.js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Graphiques interactifs, radar charts, heatmaps</w:t>
            </w:r>
          </w:p>
        </w:tc>
      </w:tr>
      <w:tr>
        <w:tc>
          <w:tcPr>
            <w:tcW w:type="dxa" w:w="20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Backend</w:t>
            </w:r>
          </w:p>
        </w:tc>
        <w:tc>
          <w:tcPr>
            <w:tcW w:type="dxa" w:w="32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Node.js + Express (ou Hono)</w:t>
            </w:r>
          </w:p>
        </w:tc>
        <w:tc>
          <w:tcPr>
            <w:tcW w:type="dxa" w:w="38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API REST, léger, compatible Antigravity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Base de données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PostgreSQL</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Relationnel, JSON support, robuste</w:t>
            </w:r>
          </w:p>
        </w:tc>
      </w:tr>
      <w:tr>
        <w:tc>
          <w:tcPr>
            <w:tcW w:type="dxa" w:w="20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ORM</w:t>
            </w:r>
          </w:p>
        </w:tc>
        <w:tc>
          <w:tcPr>
            <w:tcW w:type="dxa" w:w="32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Drizzle ORM (ou Prisma)</w:t>
            </w:r>
          </w:p>
        </w:tc>
        <w:tc>
          <w:tcPr>
            <w:tcW w:type="dxa" w:w="38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Type-safe, migrations, compatible Antigravity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Auth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JWT + bcrypt</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Authentification sécurisée, rôles et permissions</w:t>
            </w:r>
          </w:p>
        </w:tc>
      </w:tr>
      <w:tr>
        <w:tc>
          <w:tcPr>
            <w:tcW w:type="dxa" w:w="20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File Processing</w:t>
            </w:r>
          </w:p>
        </w:tc>
        <w:tc>
          <w:tcPr>
            <w:tcW w:type="dxa" w:w="32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SheetJS (xlsx) + Papaparse (csv)</w:t>
            </w:r>
          </w:p>
        </w:tc>
        <w:tc>
          <w:tcPr>
            <w:tcW w:type="dxa" w:w="38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Import/validation fichiers Excel et CSV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IA (optionnel)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Gemini API (Google)</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Génération rapports, analyse gaps, recommandations</w:t>
            </w:r>
          </w:p>
        </w:tc>
      </w:tr>
      <w:tr>
        <w:tc>
          <w:tcPr>
            <w:tcW w:type="dxa" w:w="20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Notifications</w:t>
            </w:r>
          </w:p>
        </w:tc>
        <w:tc>
          <w:tcPr>
            <w:tcW w:type="dxa" w:w="32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WhatsApp Business API + Email</w:t>
            </w:r>
          </w:p>
        </w:tc>
        <w:tc>
          <w:tcPr>
            <w:tcW w:type="dxa" w:w="38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Alertes directeur et chefs de département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Hébergement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Serveur interne CHU ou Google Cloud (Maroc)</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Souveraineté données, conformité Loi 09-08</w:t>
            </w:r>
          </w:p>
        </w:tc>
      </w:tr>
    </w:tbl>
    <w:p>
      <w:pPr>
        <w:spacing w:after="200"/>
      </w:pPr>
    </w:p>
    <w:p>
      <w:pPr>
        <w:pStyle w:val="Heading2"/>
      </w:pPr>
      <w:r>
        <w:t xml:space="preserve">5.2 Architecture des Pages</w:t>
      </w:r>
    </w:p>
    <w:p>
      <w:pPr>
        <w:spacing w:after="160" w:line="276"/>
        <w:jc w:val="both"/>
      </w:pPr>
      <w:r>
        <w:rPr>
          <w:rFonts w:ascii="Arial" w:cs="Arial" w:eastAsia="Arial" w:hAnsi="Arial"/>
          <w:b w:val="false"/>
          <w:bCs w:val="false"/>
          <w:i w:val="false"/>
          <w:iCs w:val="false"/>
          <w:color w:val="333333"/>
          <w:sz w:val="21"/>
          <w:szCs w:val="21"/>
        </w:rPr>
        <w:t xml:space="preserve">Le dashboard est organisé en 8 pages principales, chacune avec des composants spécifiques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400"/>
        <w:gridCol w:w="2026"/>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Page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URL</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Composants clés</w:t>
            </w:r>
          </w:p>
        </w:tc>
        <w:tc>
          <w:tcPr>
            <w:tcW w:type="dxa" w:w="2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Rôles accès</w:t>
            </w:r>
          </w:p>
        </w:tc>
      </w:tr>
      <w:tr>
        <w:tc>
          <w:tcPr>
            <w:tcW w:type="dxa" w:w="1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Vue d’ensemble</w:t>
            </w:r>
          </w:p>
        </w:tc>
        <w:tc>
          <w:tcPr>
            <w:tcW w:type="dxa" w:w="1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/dashboard</w:t>
            </w:r>
          </w:p>
        </w:tc>
        <w:tc>
          <w:tcPr>
            <w:tcW w:type="dxa" w:w="34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Score global par référentiel (3 jauges), tendance 12 mois, alertes actives, top 5 non-conformités</w:t>
            </w:r>
          </w:p>
        </w:tc>
        <w:tc>
          <w:tcPr>
            <w:tcW w:type="dxa" w:w="20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Tous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Référentiel détaillé</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/framework/:id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Radar chart par domaine, liste standards avec statut couleur, filtre par département</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Tous</w:t>
            </w:r>
          </w:p>
        </w:tc>
      </w:tr>
      <w:tr>
        <w:tc>
          <w:tcPr>
            <w:tcW w:type="dxa" w:w="1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KPIs temps réel</w:t>
            </w:r>
          </w:p>
        </w:tc>
        <w:tc>
          <w:tcPr>
            <w:tcW w:type="dxa" w:w="1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/kpis</w:t>
            </w:r>
          </w:p>
        </w:tc>
        <w:tc>
          <w:tcPr>
            <w:tcW w:type="dxa" w:w="34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Grille de KPIs avec sparklines, filtres (domaine, département, période), export PDF</w:t>
            </w:r>
          </w:p>
        </w:tc>
        <w:tc>
          <w:tcPr>
            <w:tcW w:type="dxa" w:w="20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Qualité + Admin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Import Données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/import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Upload drag&amp;drop, sélection template, prévisualisation, validation, historique imports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Qualité + Admin</w:t>
            </w:r>
          </w:p>
        </w:tc>
      </w:tr>
      <w:tr>
        <w:tc>
          <w:tcPr>
            <w:tcW w:type="dxa" w:w="1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Plans d’Action</w:t>
            </w:r>
          </w:p>
        </w:tc>
        <w:tc>
          <w:tcPr>
            <w:tcW w:type="dxa" w:w="1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/actions</w:t>
            </w:r>
          </w:p>
        </w:tc>
        <w:tc>
          <w:tcPr>
            <w:tcW w:type="dxa" w:w="34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Kanban (A faire / En cours / Fait), filtres urgence, assignation, délais</w:t>
            </w:r>
          </w:p>
        </w:tc>
        <w:tc>
          <w:tcPr>
            <w:tcW w:type="dxa" w:w="20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Qualité + Départements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Rapports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/reports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Génération PDF/DOCX formaté accréditation, historique, export</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Qualité + Admin</w:t>
            </w:r>
          </w:p>
        </w:tc>
      </w:tr>
      <w:tr>
        <w:tc>
          <w:tcPr>
            <w:tcW w:type="dxa" w:w="1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Matrice Correspondances</w:t>
            </w:r>
          </w:p>
        </w:tc>
        <w:tc>
          <w:tcPr>
            <w:tcW w:type="dxa" w:w="1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/mapping</w:t>
            </w:r>
          </w:p>
        </w:tc>
        <w:tc>
          <w:tcPr>
            <w:tcW w:type="dxa" w:w="34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Tableau croisé inter-référentiels, recherche, filtres</w:t>
            </w:r>
          </w:p>
        </w:tc>
        <w:tc>
          <w:tcPr>
            <w:tcW w:type="dxa" w:w="20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Qualité</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Administration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/admin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Gestion utilisateurs, départements, connexions HIS, paramètres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Admin</w:t>
            </w:r>
          </w:p>
        </w:tc>
      </w:tr>
    </w:tbl>
    <w:p>
      <w:r>
        <w:br w:type="page"/>
      </w:r>
    </w:p>
    <w:p>
      <w:pPr>
        <w:pStyle w:val="Heading1"/>
      </w:pPr>
      <w:r>
        <w:t xml:space="preserve">6. Wireframes et Spécifications UI</w:t>
      </w:r>
    </w:p>
    <w:p>
      <w:pPr>
        <w:pStyle w:val="Heading2"/>
      </w:pPr>
      <w:r>
        <w:t xml:space="preserve">6.1 Page Principale — Vue d’Ensemble</w:t>
      </w:r>
    </w:p>
    <w:p>
      <w:pPr>
        <w:spacing w:after="160" w:line="276"/>
        <w:jc w:val="both"/>
      </w:pPr>
      <w:r>
        <w:rPr>
          <w:rFonts w:ascii="Arial" w:cs="Arial" w:eastAsia="Arial" w:hAnsi="Arial"/>
          <w:b w:val="false"/>
          <w:bCs w:val="false"/>
          <w:i w:val="false"/>
          <w:iCs w:val="false"/>
          <w:color w:val="333333"/>
          <w:sz w:val="21"/>
          <w:szCs w:val="21"/>
        </w:rPr>
        <w:t xml:space="preserve">La page principale est divisée en 4 zones :</w:t>
      </w:r>
    </w:p>
    <w:p>
      <w:pPr>
        <w:pStyle w:val="ListParagraph"/>
        <w:numPr>
          <w:ilvl w:val="0"/>
          <w:numId w:val="2"/>
        </w:numPr>
        <w:spacing w:after="80" w:line="276"/>
      </w:pPr>
      <w:r>
        <w:rPr>
          <w:rFonts w:ascii="Arial" w:cs="Arial" w:eastAsia="Arial" w:hAnsi="Arial"/>
          <w:color w:val="333333"/>
          <w:sz w:val="21"/>
          <w:szCs w:val="21"/>
        </w:rPr>
        <w:t xml:space="preserve">Zone 1 (haut) : 3 jauges circulaires côte à côte — score global Accreditation Canada (ex: 72%), JCI (ex: 68%), HAS (ex: 81%). Chaque jauge est colorée selon le seuil (vert/orange/rouge). Un clic ouvre la page détaillée du référentiel.</w:t>
      </w:r>
    </w:p>
    <w:p>
      <w:pPr>
        <w:pStyle w:val="ListParagraph"/>
        <w:numPr>
          <w:ilvl w:val="0"/>
          <w:numId w:val="2"/>
        </w:numPr>
        <w:spacing w:after="80" w:line="276"/>
      </w:pPr>
      <w:r>
        <w:rPr>
          <w:rFonts w:ascii="Arial" w:cs="Arial" w:eastAsia="Arial" w:hAnsi="Arial"/>
          <w:color w:val="333333"/>
          <w:sz w:val="21"/>
          <w:szCs w:val="21"/>
        </w:rPr>
        <w:t xml:space="preserve">Zone 2 (milieu gauche) : Graphique en courbe — évolution du score global sur 12 mois, avec les 3 référentiels superposés. Permet de visualiser la tendance et l’impact des actions correctives.</w:t>
      </w:r>
    </w:p>
    <w:p>
      <w:pPr>
        <w:pStyle w:val="ListParagraph"/>
        <w:numPr>
          <w:ilvl w:val="0"/>
          <w:numId w:val="2"/>
        </w:numPr>
        <w:spacing w:after="80" w:line="276"/>
      </w:pPr>
      <w:r>
        <w:rPr>
          <w:rFonts w:ascii="Arial" w:cs="Arial" w:eastAsia="Arial" w:hAnsi="Arial"/>
          <w:color w:val="333333"/>
          <w:sz w:val="21"/>
          <w:szCs w:val="21"/>
        </w:rPr>
        <w:t xml:space="preserve">Zone 3 (milieu droite) : Tableau des alertes actives — les 10 non-conformités les plus critiques, triées par priorité. Chaque ligne montre : domaine, standard, département, délai dépassé (en jours), responsable. Code couleur rouge/orange.</w:t>
      </w:r>
    </w:p>
    <w:p>
      <w:pPr>
        <w:pStyle w:val="ListParagraph"/>
        <w:numPr>
          <w:ilvl w:val="0"/>
          <w:numId w:val="2"/>
        </w:numPr>
        <w:spacing w:after="80" w:line="276"/>
      </w:pPr>
      <w:r>
        <w:rPr>
          <w:rFonts w:ascii="Arial" w:cs="Arial" w:eastAsia="Arial" w:hAnsi="Arial"/>
          <w:color w:val="333333"/>
          <w:sz w:val="21"/>
          <w:szCs w:val="21"/>
        </w:rPr>
        <w:t xml:space="preserve">Zone 4 (bas) : Heatmap départements × domaines — une matrice montrant le score de conformité de chaque département sur chaque domaine. Permet d’identifier visuellement les zones faibles.</w:t>
      </w:r>
    </w:p>
    <w:p>
      <w:pPr>
        <w:pStyle w:val="Heading2"/>
      </w:pPr>
      <w:r>
        <w:t xml:space="preserve">6.2 Page Référentiel Détaillé</w:t>
      </w:r>
    </w:p>
    <w:p>
      <w:pPr>
        <w:spacing w:after="160" w:line="276"/>
        <w:jc w:val="both"/>
      </w:pPr>
      <w:r>
        <w:rPr>
          <w:rFonts w:ascii="Arial" w:cs="Arial" w:eastAsia="Arial" w:hAnsi="Arial"/>
          <w:b w:val="false"/>
          <w:bCs w:val="false"/>
          <w:i w:val="false"/>
          <w:iCs w:val="false"/>
          <w:color w:val="333333"/>
          <w:sz w:val="21"/>
          <w:szCs w:val="21"/>
        </w:rPr>
        <w:t xml:space="preserve">Sélection du référentiel via onglets (AC | JCI | HAS). Pour chaque référentiel :</w:t>
      </w:r>
    </w:p>
    <w:p>
      <w:pPr>
        <w:pStyle w:val="ListParagraph"/>
        <w:numPr>
          <w:ilvl w:val="0"/>
          <w:numId w:val="2"/>
        </w:numPr>
        <w:spacing w:after="80" w:line="276"/>
      </w:pPr>
      <w:r>
        <w:rPr>
          <w:rFonts w:ascii="Arial" w:cs="Arial" w:eastAsia="Arial" w:hAnsi="Arial"/>
          <w:color w:val="333333"/>
          <w:sz w:val="21"/>
          <w:szCs w:val="21"/>
        </w:rPr>
        <w:t xml:space="preserve">Radar chart : un axe par domaine, score 0–100%. Permet la comparaison visuelle immédiate des forces et faiblesses.</w:t>
      </w:r>
    </w:p>
    <w:p>
      <w:pPr>
        <w:pStyle w:val="ListParagraph"/>
        <w:numPr>
          <w:ilvl w:val="0"/>
          <w:numId w:val="2"/>
        </w:numPr>
        <w:spacing w:after="80" w:line="276"/>
      </w:pPr>
      <w:r>
        <w:rPr>
          <w:rFonts w:ascii="Arial" w:cs="Arial" w:eastAsia="Arial" w:hAnsi="Arial"/>
          <w:color w:val="333333"/>
          <w:sz w:val="21"/>
          <w:szCs w:val="21"/>
        </w:rPr>
        <w:t xml:space="preserve">Liste déroulante par domaine : chaque domaine s’ouvre pour révéler ses standards. Chaque standard affiche : statut (conforme/partiel/non-conforme/NA), dernière évaluation, département responsable, nombre de preuves téléchargées.</w:t>
      </w:r>
    </w:p>
    <w:p>
      <w:pPr>
        <w:pStyle w:val="ListParagraph"/>
        <w:numPr>
          <w:ilvl w:val="0"/>
          <w:numId w:val="2"/>
        </w:numPr>
        <w:spacing w:after="80" w:line="276"/>
      </w:pPr>
      <w:r>
        <w:rPr>
          <w:rFonts w:ascii="Arial" w:cs="Arial" w:eastAsia="Arial" w:hAnsi="Arial"/>
          <w:color w:val="333333"/>
          <w:sz w:val="21"/>
          <w:szCs w:val="21"/>
        </w:rPr>
        <w:t xml:space="preserve">Filtre par département : permet à un chef de service de voir uniquement ce qui le concerne.</w:t>
      </w:r>
    </w:p>
    <w:p>
      <w:pPr>
        <w:pStyle w:val="ListParagraph"/>
        <w:numPr>
          <w:ilvl w:val="0"/>
          <w:numId w:val="2"/>
        </w:numPr>
        <w:spacing w:after="80" w:line="276"/>
      </w:pPr>
      <w:r>
        <w:rPr>
          <w:rFonts w:ascii="Arial" w:cs="Arial" w:eastAsia="Arial" w:hAnsi="Arial"/>
          <w:color w:val="333333"/>
          <w:sz w:val="21"/>
          <w:szCs w:val="21"/>
        </w:rPr>
        <w:t xml:space="preserve">Bouton « Voir correspondances » : pour chaque standard, affiche les standards équivalents dans les autres référentiels.</w:t>
      </w:r>
    </w:p>
    <w:p>
      <w:pPr>
        <w:pStyle w:val="Heading2"/>
      </w:pPr>
      <w:r>
        <w:t xml:space="preserve">6.3 Page Import Données</w:t>
      </w:r>
    </w:p>
    <w:p>
      <w:pPr>
        <w:spacing w:after="160" w:line="276"/>
        <w:jc w:val="both"/>
      </w:pPr>
      <w:r>
        <w:rPr>
          <w:rFonts w:ascii="Arial" w:cs="Arial" w:eastAsia="Arial" w:hAnsi="Arial"/>
          <w:b w:val="false"/>
          <w:bCs w:val="false"/>
          <w:i w:val="false"/>
          <w:iCs w:val="false"/>
          <w:color w:val="333333"/>
          <w:sz w:val="21"/>
          <w:szCs w:val="21"/>
        </w:rPr>
        <w:t xml:space="preserve">Le flux d’import est conçu pour minimiser les erreurs :</w:t>
      </w:r>
    </w:p>
    <w:p>
      <w:pPr>
        <w:pStyle w:val="ListParagraph"/>
        <w:numPr>
          <w:ilvl w:val="0"/>
          <w:numId w:val="2"/>
        </w:numPr>
        <w:spacing w:after="80" w:line="276"/>
      </w:pPr>
      <w:r>
        <w:rPr>
          <w:rFonts w:ascii="Arial" w:cs="Arial" w:eastAsia="Arial" w:hAnsi="Arial"/>
          <w:color w:val="333333"/>
          <w:sz w:val="21"/>
          <w:szCs w:val="21"/>
        </w:rPr>
        <w:t xml:space="preserve">Étape 1 : Sélection du template (dropdown avec les 8 templates définis). Le système affiche le format attendu et un lien de téléchargement du template vide.</w:t>
      </w:r>
    </w:p>
    <w:p>
      <w:pPr>
        <w:pStyle w:val="ListParagraph"/>
        <w:numPr>
          <w:ilvl w:val="0"/>
          <w:numId w:val="2"/>
        </w:numPr>
        <w:spacing w:after="80" w:line="276"/>
      </w:pPr>
      <w:r>
        <w:rPr>
          <w:rFonts w:ascii="Arial" w:cs="Arial" w:eastAsia="Arial" w:hAnsi="Arial"/>
          <w:color w:val="333333"/>
          <w:sz w:val="21"/>
          <w:szCs w:val="21"/>
        </w:rPr>
        <w:t xml:space="preserve">Étape 2 : Upload du fichier (drag &amp; drop ou sélecteur). Validation immédiate : format, colonnes manquantes, types de données.</w:t>
      </w:r>
    </w:p>
    <w:p>
      <w:pPr>
        <w:pStyle w:val="ListParagraph"/>
        <w:numPr>
          <w:ilvl w:val="0"/>
          <w:numId w:val="2"/>
        </w:numPr>
        <w:spacing w:after="80" w:line="276"/>
      </w:pPr>
      <w:r>
        <w:rPr>
          <w:rFonts w:ascii="Arial" w:cs="Arial" w:eastAsia="Arial" w:hAnsi="Arial"/>
          <w:color w:val="333333"/>
          <w:sz w:val="21"/>
          <w:szCs w:val="21"/>
        </w:rPr>
        <w:t xml:space="preserve">Étape 3 : Prévisualisation des 10 premières lignes avec surlignage des erreurs en rouge. L’utilisateur peut corriger ou rejeter.</w:t>
      </w:r>
    </w:p>
    <w:p>
      <w:pPr>
        <w:pStyle w:val="ListParagraph"/>
        <w:numPr>
          <w:ilvl w:val="0"/>
          <w:numId w:val="2"/>
        </w:numPr>
        <w:spacing w:after="80" w:line="276"/>
      </w:pPr>
      <w:r>
        <w:rPr>
          <w:rFonts w:ascii="Arial" w:cs="Arial" w:eastAsia="Arial" w:hAnsi="Arial"/>
          <w:color w:val="333333"/>
          <w:sz w:val="21"/>
          <w:szCs w:val="21"/>
        </w:rPr>
        <w:t xml:space="preserve">Étape 4 : Confirmation et import. Le système affiche le nombre de lignes traitées, les KPIs mis à jour, et les alertes déclenchées.</w:t>
      </w:r>
    </w:p>
    <w:p>
      <w:pPr>
        <w:pStyle w:val="Heading2"/>
      </w:pPr>
      <w:r>
        <w:t xml:space="preserve">6.4 Page KPIs Temps Réel</w:t>
      </w:r>
    </w:p>
    <w:p>
      <w:pPr>
        <w:spacing w:after="160" w:line="276"/>
        <w:jc w:val="both"/>
      </w:pPr>
      <w:r>
        <w:rPr>
          <w:rFonts w:ascii="Arial" w:cs="Arial" w:eastAsia="Arial" w:hAnsi="Arial"/>
          <w:b w:val="false"/>
          <w:bCs w:val="false"/>
          <w:i w:val="false"/>
          <w:iCs w:val="false"/>
          <w:color w:val="333333"/>
          <w:sz w:val="21"/>
          <w:szCs w:val="21"/>
        </w:rPr>
        <w:t xml:space="preserve">Grille de cartes KPI, chacune affichant :</w:t>
      </w:r>
    </w:p>
    <w:p>
      <w:pPr>
        <w:pStyle w:val="ListParagraph"/>
        <w:numPr>
          <w:ilvl w:val="0"/>
          <w:numId w:val="2"/>
        </w:numPr>
        <w:spacing w:after="80" w:line="276"/>
      </w:pPr>
      <w:r>
        <w:rPr>
          <w:rFonts w:ascii="Arial" w:cs="Arial" w:eastAsia="Arial" w:hAnsi="Arial"/>
          <w:color w:val="333333"/>
          <w:sz w:val="21"/>
          <w:szCs w:val="21"/>
        </w:rPr>
        <w:t xml:space="preserve">Nom du KPI et code</w:t>
      </w:r>
    </w:p>
    <w:p>
      <w:pPr>
        <w:pStyle w:val="ListParagraph"/>
        <w:numPr>
          <w:ilvl w:val="0"/>
          <w:numId w:val="2"/>
        </w:numPr>
        <w:spacing w:after="80" w:line="276"/>
      </w:pPr>
      <w:r>
        <w:rPr>
          <w:rFonts w:ascii="Arial" w:cs="Arial" w:eastAsia="Arial" w:hAnsi="Arial"/>
          <w:color w:val="333333"/>
          <w:sz w:val="21"/>
          <w:szCs w:val="21"/>
        </w:rPr>
        <w:t xml:space="preserve">Valeur actuelle avec code couleur (vert/orange/rouge)</w:t>
      </w:r>
    </w:p>
    <w:p>
      <w:pPr>
        <w:pStyle w:val="ListParagraph"/>
        <w:numPr>
          <w:ilvl w:val="0"/>
          <w:numId w:val="2"/>
        </w:numPr>
        <w:spacing w:after="80" w:line="276"/>
      </w:pPr>
      <w:r>
        <w:rPr>
          <w:rFonts w:ascii="Arial" w:cs="Arial" w:eastAsia="Arial" w:hAnsi="Arial"/>
          <w:color w:val="333333"/>
          <w:sz w:val="21"/>
          <w:szCs w:val="21"/>
        </w:rPr>
        <w:t xml:space="preserve">Sparkline des 6 derniers mois</w:t>
      </w:r>
    </w:p>
    <w:p>
      <w:pPr>
        <w:pStyle w:val="ListParagraph"/>
        <w:numPr>
          <w:ilvl w:val="0"/>
          <w:numId w:val="2"/>
        </w:numPr>
        <w:spacing w:after="80" w:line="276"/>
      </w:pPr>
      <w:r>
        <w:rPr>
          <w:rFonts w:ascii="Arial" w:cs="Arial" w:eastAsia="Arial" w:hAnsi="Arial"/>
          <w:color w:val="333333"/>
          <w:sz w:val="21"/>
          <w:szCs w:val="21"/>
        </w:rPr>
        <w:t xml:space="preserve">Tendance (↑ ↓ →) et variation en %</w:t>
      </w:r>
    </w:p>
    <w:p>
      <w:pPr>
        <w:pStyle w:val="ListParagraph"/>
        <w:numPr>
          <w:ilvl w:val="0"/>
          <w:numId w:val="2"/>
        </w:numPr>
        <w:spacing w:after="80" w:line="276"/>
      </w:pPr>
      <w:r>
        <w:rPr>
          <w:rFonts w:ascii="Arial" w:cs="Arial" w:eastAsia="Arial" w:hAnsi="Arial"/>
          <w:color w:val="333333"/>
          <w:sz w:val="21"/>
          <w:szCs w:val="21"/>
        </w:rPr>
        <w:t xml:space="preserve">Clic → modal avec historique complet, graphique détaillé, et lien vers les standards concernés</w:t>
      </w:r>
    </w:p>
    <w:p>
      <w:r>
        <w:br w:type="page"/>
      </w:r>
    </w:p>
    <w:p>
      <w:pPr>
        <w:pStyle w:val="Heading1"/>
      </w:pPr>
      <w:r>
        <w:t xml:space="preserve">7. Spécification API</w:t>
      </w:r>
    </w:p>
    <w:p>
      <w:pPr>
        <w:pStyle w:val="Heading2"/>
      </w:pPr>
      <w:r>
        <w:t xml:space="preserve">7.1 Endpoints Principaux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200"/>
        <w:gridCol w:w="1726"/>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Méthode</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Endpoint</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Description</w:t>
            </w:r>
          </w:p>
        </w:tc>
        <w:tc>
          <w:tcPr>
            <w:tcW w:type="dxa" w:w="17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Auth</w:t>
            </w:r>
          </w:p>
        </w:tc>
      </w:tr>
      <w:tr>
        <w:tc>
          <w:tcPr>
            <w:tcW w:type="dxa" w:w="9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GET</w:t>
            </w:r>
          </w:p>
        </w:tc>
        <w:tc>
          <w:tcPr>
            <w:tcW w:type="dxa" w:w="32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/api/dashboard/overview</w:t>
            </w:r>
          </w:p>
        </w:tc>
        <w:tc>
          <w:tcPr>
            <w:tcW w:type="dxa" w:w="32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Scores globaux, alertes, tendances</w:t>
            </w:r>
          </w:p>
        </w:tc>
        <w:tc>
          <w:tcPr>
            <w:tcW w:type="dxa" w:w="17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Viewer+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/api/frameworks/:id/domains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Domaines et scores par référentiel</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Viewer+</w:t>
            </w:r>
          </w:p>
        </w:tc>
      </w:tr>
      <w:tr>
        <w:tc>
          <w:tcPr>
            <w:tcW w:type="dxa" w:w="9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GET</w:t>
            </w:r>
          </w:p>
        </w:tc>
        <w:tc>
          <w:tcPr>
            <w:tcW w:type="dxa" w:w="32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/api/frameworks/:id/standards</w:t>
            </w:r>
          </w:p>
        </w:tc>
        <w:tc>
          <w:tcPr>
            <w:tcW w:type="dxa" w:w="32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Standards avec statuts, filtres dept</w:t>
            </w:r>
          </w:p>
        </w:tc>
        <w:tc>
          <w:tcPr>
            <w:tcW w:type="dxa" w:w="17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Viewer+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/api/kpis?domain=&amp;dept=&amp;period=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KPIs filtrés avec historique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Quality+</w:t>
            </w:r>
          </w:p>
        </w:tc>
      </w:tr>
      <w:tr>
        <w:tc>
          <w:tcPr>
            <w:tcW w:type="dxa" w:w="9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POST</w:t>
            </w:r>
          </w:p>
        </w:tc>
        <w:tc>
          <w:tcPr>
            <w:tcW w:type="dxa" w:w="32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/api/import/upload</w:t>
            </w:r>
          </w:p>
        </w:tc>
        <w:tc>
          <w:tcPr>
            <w:tcW w:type="dxa" w:w="32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Upload fichier Excel/CSV</w:t>
            </w:r>
          </w:p>
        </w:tc>
        <w:tc>
          <w:tcPr>
            <w:tcW w:type="dxa" w:w="17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Quality+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/api/import/validate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Validation pré-import</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Quality+</w:t>
            </w:r>
          </w:p>
        </w:tc>
      </w:tr>
      <w:tr>
        <w:tc>
          <w:tcPr>
            <w:tcW w:type="dxa" w:w="9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POST</w:t>
            </w:r>
          </w:p>
        </w:tc>
        <w:tc>
          <w:tcPr>
            <w:tcW w:type="dxa" w:w="32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/api/import/confirm</w:t>
            </w:r>
          </w:p>
        </w:tc>
        <w:tc>
          <w:tcPr>
            <w:tcW w:type="dxa" w:w="32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Confirmation et traitement import</w:t>
            </w:r>
          </w:p>
        </w:tc>
        <w:tc>
          <w:tcPr>
            <w:tcW w:type="dxa" w:w="17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Quality+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/api/assessments?standard=&amp;dept=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Evaluations avec preuves</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Quality+</w:t>
            </w:r>
          </w:p>
        </w:tc>
      </w:tr>
      <w:tr>
        <w:tc>
          <w:tcPr>
            <w:tcW w:type="dxa" w:w="9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PUT</w:t>
            </w:r>
          </w:p>
        </w:tc>
        <w:tc>
          <w:tcPr>
            <w:tcW w:type="dxa" w:w="32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/api/assessments/:id</w:t>
            </w:r>
          </w:p>
        </w:tc>
        <w:tc>
          <w:tcPr>
            <w:tcW w:type="dxa" w:w="32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Mise à jour statut évaluation</w:t>
            </w:r>
          </w:p>
        </w:tc>
        <w:tc>
          <w:tcPr>
            <w:tcW w:type="dxa" w:w="17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Quality+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/api/assessments/:id/evidence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Upload preuve documentaire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Quality+</w:t>
            </w:r>
          </w:p>
        </w:tc>
      </w:tr>
      <w:tr>
        <w:tc>
          <w:tcPr>
            <w:tcW w:type="dxa" w:w="9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GET</w:t>
            </w:r>
          </w:p>
        </w:tc>
        <w:tc>
          <w:tcPr>
            <w:tcW w:type="dxa" w:w="32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/api/actions?status=&amp;dept=&amp;priority=</w:t>
            </w:r>
          </w:p>
        </w:tc>
        <w:tc>
          <w:tcPr>
            <w:tcW w:type="dxa" w:w="32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Plans d’action filtrés</w:t>
            </w:r>
          </w:p>
        </w:tc>
        <w:tc>
          <w:tcPr>
            <w:tcW w:type="dxa" w:w="17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DeptHead+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PUT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/api/actions/:id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Mise à jour action (statut, assignation)</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DeptHead+</w:t>
            </w:r>
          </w:p>
        </w:tc>
      </w:tr>
      <w:tr>
        <w:tc>
          <w:tcPr>
            <w:tcW w:type="dxa" w:w="9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GET</w:t>
            </w:r>
          </w:p>
        </w:tc>
        <w:tc>
          <w:tcPr>
            <w:tcW w:type="dxa" w:w="32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/api/reports/generate?framework=&amp;format=</w:t>
            </w:r>
          </w:p>
        </w:tc>
        <w:tc>
          <w:tcPr>
            <w:tcW w:type="dxa" w:w="32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Générer rapport PDF/DOCX</w:t>
            </w:r>
          </w:p>
        </w:tc>
        <w:tc>
          <w:tcPr>
            <w:tcW w:type="dxa" w:w="17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Quality+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/api/mapping?criteria=&amp;target_fw=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Correspondances inter-référentiels</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Quality+</w:t>
            </w:r>
          </w:p>
        </w:tc>
      </w:tr>
      <w:tr>
        <w:tc>
          <w:tcPr>
            <w:tcW w:type="dxa" w:w="9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GET</w:t>
            </w:r>
          </w:p>
        </w:tc>
        <w:tc>
          <w:tcPr>
            <w:tcW w:type="dxa" w:w="32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/api/his/status</w:t>
            </w:r>
          </w:p>
        </w:tc>
        <w:tc>
          <w:tcPr>
            <w:tcW w:type="dxa" w:w="32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Statut connexion HIS</w:t>
            </w:r>
          </w:p>
        </w:tc>
        <w:tc>
          <w:tcPr>
            <w:tcW w:type="dxa" w:w="17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Admin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/api/his/sync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Déclencher sync HIS manuelle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Admin</w:t>
            </w:r>
          </w:p>
        </w:tc>
      </w:tr>
    </w:tbl>
    <w:p>
      <w:r>
        <w:br w:type="page"/>
      </w:r>
    </w:p>
    <w:p>
      <w:pPr>
        <w:pStyle w:val="Heading1"/>
      </w:pPr>
      <w:r>
        <w:t xml:space="preserve">8. Sécurité et Conformité Réglementaire</w:t>
      </w:r>
    </w:p>
    <w:p>
      <w:pPr>
        <w:pStyle w:val="Heading2"/>
      </w:pPr>
      <w:r>
        <w:t xml:space="preserve">8.1 Principes Non-Négociables</w:t>
      </w:r>
    </w:p>
    <w:p>
      <w:pPr>
        <w:pStyle w:val="ListParagraph"/>
        <w:numPr>
          <w:ilvl w:val="0"/>
          <w:numId w:val="2"/>
        </w:numPr>
        <w:spacing w:after="80" w:line="276"/>
      </w:pPr>
      <w:r>
        <w:rPr>
          <w:rFonts w:ascii="Arial" w:cs="Arial" w:eastAsia="Arial" w:hAnsi="Arial"/>
          <w:color w:val="333333"/>
          <w:sz w:val="21"/>
          <w:szCs w:val="21"/>
        </w:rPr>
        <w:t xml:space="preserve">Aucune donnée patient nominative ne transite dans le système. Tous les identifiants sont anonymisés avant import.</w:t>
      </w:r>
    </w:p>
    <w:p>
      <w:pPr>
        <w:pStyle w:val="ListParagraph"/>
        <w:numPr>
          <w:ilvl w:val="0"/>
          <w:numId w:val="2"/>
        </w:numPr>
        <w:spacing w:after="80" w:line="276"/>
      </w:pPr>
      <w:r>
        <w:rPr>
          <w:rFonts w:ascii="Arial" w:cs="Arial" w:eastAsia="Arial" w:hAnsi="Arial"/>
          <w:color w:val="333333"/>
          <w:sz w:val="21"/>
          <w:szCs w:val="21"/>
        </w:rPr>
        <w:t xml:space="preserve">Hébergement sur serveur interne CHU UM6SS ou cloud privé marocain. Aucune donnée ne quitte le territoire.</w:t>
      </w:r>
    </w:p>
    <w:p>
      <w:pPr>
        <w:pStyle w:val="ListParagraph"/>
        <w:numPr>
          <w:ilvl w:val="0"/>
          <w:numId w:val="2"/>
        </w:numPr>
        <w:spacing w:after="80" w:line="276"/>
      </w:pPr>
      <w:r>
        <w:rPr>
          <w:rFonts w:ascii="Arial" w:cs="Arial" w:eastAsia="Arial" w:hAnsi="Arial"/>
          <w:color w:val="333333"/>
          <w:sz w:val="21"/>
          <w:szCs w:val="21"/>
        </w:rPr>
        <w:t xml:space="preserve">Conformité Loi 09-08 (CNDP) : déclaration préalable, consentement, droit d’accès, droit de rectification.</w:t>
      </w:r>
    </w:p>
    <w:p>
      <w:pPr>
        <w:pStyle w:val="ListParagraph"/>
        <w:numPr>
          <w:ilvl w:val="0"/>
          <w:numId w:val="2"/>
        </w:numPr>
        <w:spacing w:after="80" w:line="276"/>
      </w:pPr>
      <w:r>
        <w:rPr>
          <w:rFonts w:ascii="Arial" w:cs="Arial" w:eastAsia="Arial" w:hAnsi="Arial"/>
          <w:color w:val="333333"/>
          <w:sz w:val="21"/>
          <w:szCs w:val="21"/>
        </w:rPr>
        <w:t xml:space="preserve">Chiffrement en transit (TLS 1.3) et au repos (AES-256).</w:t>
      </w:r>
    </w:p>
    <w:p>
      <w:pPr>
        <w:pStyle w:val="ListParagraph"/>
        <w:numPr>
          <w:ilvl w:val="0"/>
          <w:numId w:val="2"/>
        </w:numPr>
        <w:spacing w:after="80" w:line="276"/>
      </w:pPr>
      <w:r>
        <w:rPr>
          <w:rFonts w:ascii="Arial" w:cs="Arial" w:eastAsia="Arial" w:hAnsi="Arial"/>
          <w:color w:val="333333"/>
          <w:sz w:val="21"/>
          <w:szCs w:val="21"/>
        </w:rPr>
        <w:t xml:space="preserve">Authentification JWT avec refresh tokens, expiration 24h, invalidation sur déconnexion.</w:t>
      </w:r>
    </w:p>
    <w:p>
      <w:pPr>
        <w:pStyle w:val="ListParagraph"/>
        <w:numPr>
          <w:ilvl w:val="0"/>
          <w:numId w:val="2"/>
        </w:numPr>
        <w:spacing w:after="80" w:line="276"/>
      </w:pPr>
      <w:r>
        <w:rPr>
          <w:rFonts w:ascii="Arial" w:cs="Arial" w:eastAsia="Arial" w:hAnsi="Arial"/>
          <w:color w:val="333333"/>
          <w:sz w:val="21"/>
          <w:szCs w:val="21"/>
        </w:rPr>
        <w:t xml:space="preserve">Rôles et permissions : Admin, Quality, DeptHead, Viewer. Principe du moindre privilège.</w:t>
      </w:r>
    </w:p>
    <w:p>
      <w:pPr>
        <w:pStyle w:val="ListParagraph"/>
        <w:numPr>
          <w:ilvl w:val="0"/>
          <w:numId w:val="2"/>
        </w:numPr>
        <w:spacing w:after="80" w:line="276"/>
      </w:pPr>
      <w:r>
        <w:rPr>
          <w:rFonts w:ascii="Arial" w:cs="Arial" w:eastAsia="Arial" w:hAnsi="Arial"/>
          <w:color w:val="333333"/>
          <w:sz w:val="21"/>
          <w:szCs w:val="21"/>
        </w:rPr>
        <w:t xml:space="preserve">Piste d’audit complète : chaque action (import, évaluation, modification) est tracée avec horodatage, utilisateur, IP.</w:t>
      </w:r>
    </w:p>
    <w:p>
      <w:pPr>
        <w:pStyle w:val="ListParagraph"/>
        <w:numPr>
          <w:ilvl w:val="0"/>
          <w:numId w:val="2"/>
        </w:numPr>
        <w:spacing w:after="80" w:line="276"/>
      </w:pPr>
      <w:r>
        <w:rPr>
          <w:rFonts w:ascii="Arial" w:cs="Arial" w:eastAsia="Arial" w:hAnsi="Arial"/>
          <w:color w:val="333333"/>
          <w:sz w:val="21"/>
          <w:szCs w:val="21"/>
        </w:rPr>
        <w:t xml:space="preserve">Sauvegardes automatisées quotidiennes de la base de données.</w:t>
      </w:r>
    </w:p>
    <w:p>
      <w:pPr>
        <w:pStyle w:val="Heading2"/>
      </w:pPr>
      <w:r>
        <w:t xml:space="preserve">8.2 Gestion des Appels API Externes</w:t>
      </w:r>
    </w:p>
    <w:p>
      <w:pPr>
        <w:spacing w:after="160" w:line="276"/>
        <w:jc w:val="both"/>
      </w:pPr>
      <w:r>
        <w:rPr>
          <w:rFonts w:ascii="Arial" w:cs="Arial" w:eastAsia="Arial" w:hAnsi="Arial"/>
          <w:b w:val="false"/>
          <w:bCs w:val="false"/>
          <w:i w:val="false"/>
          <w:iCs w:val="false"/>
          <w:color w:val="333333"/>
          <w:sz w:val="21"/>
          <w:szCs w:val="21"/>
        </w:rPr>
        <w:t xml:space="preserve">Si l’IA (Gemini) est utilisée pour générer des recommandations, seules des données agrégées et anonymisées sont envoyées. Les prompts ne contiennent jamais de noms de patients, de numéros de dossiers, ou de données identifiantes. À terme, l’objectif est de migrer vers un modèle local (MedGemma 27B) pour éliminer toute dépendance externe.</w:t>
      </w:r>
    </w:p>
    <w:p>
      <w:r>
        <w:br w:type="page"/>
      </w:r>
    </w:p>
    <w:p>
      <w:pPr>
        <w:pStyle w:val="Heading1"/>
      </w:pPr>
      <w:r>
        <w:t xml:space="preserve">9. Plan d’Implémentation</w:t>
      </w:r>
    </w:p>
    <w:p>
      <w:pPr>
        <w:pStyle w:val="Heading2"/>
      </w:pPr>
      <w:r>
        <w:t xml:space="preserve">9.1 Phases de Développement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800"/>
        <w:gridCol w:w="2026"/>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Phase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Durée</w:t>
            </w:r>
          </w:p>
        </w:tc>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Livrables</w:t>
            </w:r>
          </w:p>
        </w:tc>
        <w:tc>
          <w:tcPr>
            <w:tcW w:type="dxa" w:w="2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Dépendances</w:t>
            </w:r>
          </w:p>
        </w:tc>
      </w:tr>
      <w:tr>
        <w:tc>
          <w:tcPr>
            <w:tcW w:type="dxa" w:w="1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Phase 0 : Setup</w:t>
            </w:r>
          </w:p>
        </w:tc>
        <w:tc>
          <w:tcPr>
            <w:tcW w:type="dxa" w:w="14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Semaine 1</w:t>
            </w:r>
          </w:p>
        </w:tc>
        <w:tc>
          <w:tcPr>
            <w:tcW w:type="dxa" w:w="3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Projet Antigravity, DB schema, auth, CI/CD</w:t>
            </w:r>
          </w:p>
        </w:tc>
        <w:tc>
          <w:tcPr>
            <w:tcW w:type="dxa" w:w="20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Accès Antigravity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Phase 1 : Core Dashboard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Semaines 2–4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Vue d’ensemble, 3 jauges, KPIs statiques, import Excel (2 templates)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Schema DB validé</w:t>
            </w:r>
          </w:p>
        </w:tc>
      </w:tr>
      <w:tr>
        <w:tc>
          <w:tcPr>
            <w:tcW w:type="dxa" w:w="1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Phase 2 : Référentiels</w:t>
            </w:r>
          </w:p>
        </w:tc>
        <w:tc>
          <w:tcPr>
            <w:tcW w:type="dxa" w:w="14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Semaines 4–6</w:t>
            </w:r>
          </w:p>
        </w:tc>
        <w:tc>
          <w:tcPr>
            <w:tcW w:type="dxa" w:w="3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3 référentiels complets chargés, radar charts, liste standards, matrice correspondances</w:t>
            </w:r>
          </w:p>
        </w:tc>
        <w:tc>
          <w:tcPr>
            <w:tcW w:type="dxa" w:w="20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Données référentiels validées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Phase 3 : Import Complet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Semaines 6–8</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8 templates Excel, validation, prévisualisation, historique, KPIs auto-calculés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Templates validés avec équipe qualité</w:t>
            </w:r>
          </w:p>
        </w:tc>
      </w:tr>
      <w:tr>
        <w:tc>
          <w:tcPr>
            <w:tcW w:type="dxa" w:w="1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Phase 4 : Actions &amp; Rapports</w:t>
            </w:r>
          </w:p>
        </w:tc>
        <w:tc>
          <w:tcPr>
            <w:tcW w:type="dxa" w:w="14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Semaines 8–10</w:t>
            </w:r>
          </w:p>
        </w:tc>
        <w:tc>
          <w:tcPr>
            <w:tcW w:type="dxa" w:w="3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Kanban actions, génération rapports PDF, notifications email</w:t>
            </w:r>
          </w:p>
        </w:tc>
        <w:tc>
          <w:tcPr>
            <w:tcW w:type="dxa" w:w="20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Aucune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Phase 5 : Intégration HIS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Semaines 10–14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Connecteur FHIR/HL7, sync automatique, KPIs temps réel</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Accès API HIS (DSI)</w:t>
            </w:r>
          </w:p>
        </w:tc>
      </w:tr>
      <w:tr>
        <w:tc>
          <w:tcPr>
            <w:tcW w:type="dxa" w:w="1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Phase 6 : IA &amp; WhatsApp</w:t>
            </w:r>
          </w:p>
        </w:tc>
        <w:tc>
          <w:tcPr>
            <w:tcW w:type="dxa" w:w="14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Semaines 14–16</w:t>
            </w:r>
          </w:p>
        </w:tc>
        <w:tc>
          <w:tcPr>
            <w:tcW w:type="dxa" w:w="3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Génération recommandations IA, alertes WhatsApp directeur</w:t>
            </w:r>
          </w:p>
        </w:tc>
        <w:tc>
          <w:tcPr>
            <w:tcW w:type="dxa" w:w="20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API Gemini + WhatsApp Business</w:t>
            </w:r>
          </w:p>
        </w:tc>
      </w:tr>
    </w:tbl>
    <w:p>
      <w:pPr>
        <w:spacing w:after="200"/>
      </w:pPr>
    </w:p>
    <w:p>
      <w:pPr>
        <w:pStyle w:val="Heading2"/>
      </w:pPr>
      <w:r>
        <w:t xml:space="preserve">9.2 Structure des Fichiers (Antigravity)</w:t>
      </w:r>
    </w:p>
    <w:p>
      <w:pPr>
        <w:spacing w:after="160" w:line="276"/>
        <w:jc w:val="both"/>
      </w:pPr>
      <w:r>
        <w:rPr>
          <w:rFonts w:ascii="Arial" w:cs="Arial" w:eastAsia="Arial" w:hAnsi="Arial"/>
          <w:b w:val="false"/>
          <w:bCs w:val="false"/>
          <w:i w:val="false"/>
          <w:iCs w:val="false"/>
          <w:color w:val="333333"/>
          <w:sz w:val="21"/>
          <w:szCs w:val="21"/>
        </w:rPr>
        <w:t xml:space="preserve">Organisation recommandée du workspace Antigravity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Dossier/Fichier</w:t>
            </w:r>
          </w:p>
        </w:tc>
        <w:tc>
          <w:tcPr>
            <w:tcW w:type="dxa" w:w="5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Contenu</w:t>
            </w:r>
          </w:p>
        </w:tc>
      </w:tr>
      <w:tr>
        <w:tc>
          <w:tcPr>
            <w:tcW w:type="dxa" w:w="35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/src/app/</w:t>
            </w:r>
          </w:p>
        </w:tc>
        <w:tc>
          <w:tcPr>
            <w:tcW w:type="dxa" w:w="55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Pages Next.js / Routes React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/src/components/dashboard/</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ScoreGauge, RadarChart, KpiCard, AlertTable, Heatmap</w:t>
            </w:r>
          </w:p>
        </w:tc>
      </w:tr>
      <w:tr>
        <w:tc>
          <w:tcPr>
            <w:tcW w:type="dxa" w:w="35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/src/components/import/</w:t>
            </w:r>
          </w:p>
        </w:tc>
        <w:tc>
          <w:tcPr>
            <w:tcW w:type="dxa" w:w="55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FileUpload, TemplateSelector, DataPreview, ValidationErrors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/src/components/framework/</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DomainAccordion, StandardRow, StatusBadge, MappingModal</w:t>
            </w:r>
          </w:p>
        </w:tc>
      </w:tr>
      <w:tr>
        <w:tc>
          <w:tcPr>
            <w:tcW w:type="dxa" w:w="35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/src/components/actions/</w:t>
            </w:r>
          </w:p>
        </w:tc>
        <w:tc>
          <w:tcPr>
            <w:tcW w:type="dxa" w:w="55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KanbanBoard, ActionCard, AssigneeSelector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/src/components/reports/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ReportGenerator, ReportPreview</w:t>
            </w:r>
          </w:p>
        </w:tc>
      </w:tr>
      <w:tr>
        <w:tc>
          <w:tcPr>
            <w:tcW w:type="dxa" w:w="35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/src/lib/db/</w:t>
            </w:r>
          </w:p>
        </w:tc>
        <w:tc>
          <w:tcPr>
            <w:tcW w:type="dxa" w:w="55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schema.ts (Drizzle), migrations/, seed/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/src/lib/api/</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Routes API, middleware auth, validators</w:t>
            </w:r>
          </w:p>
        </w:tc>
      </w:tr>
      <w:tr>
        <w:tc>
          <w:tcPr>
            <w:tcW w:type="dxa" w:w="35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/src/lib/import/</w:t>
            </w:r>
          </w:p>
        </w:tc>
        <w:tc>
          <w:tcPr>
            <w:tcW w:type="dxa" w:w="55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excel-parser.ts, csv-parser.ts, validators/, templates/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/src/lib/his/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fhir-client.ts, hl7-parser.ts, sync-scheduler.ts</w:t>
            </w:r>
          </w:p>
        </w:tc>
      </w:tr>
      <w:tr>
        <w:tc>
          <w:tcPr>
            <w:tcW w:type="dxa" w:w="35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/src/lib/kpi/</w:t>
            </w:r>
          </w:p>
        </w:tc>
        <w:tc>
          <w:tcPr>
            <w:tcW w:type="dxa" w:w="55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calculator.ts, thresholds.ts, aggregator.ts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/src/data/</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frameworks/ (AC.json, JCI.json, HAS.json), mappings.json</w:t>
            </w:r>
          </w:p>
        </w:tc>
      </w:tr>
      <w:tr>
        <w:tc>
          <w:tcPr>
            <w:tcW w:type="dxa" w:w="35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/public/templates/</w:t>
            </w:r>
          </w:p>
        </w:tc>
        <w:tc>
          <w:tcPr>
            <w:tcW w:type="dxa" w:w="55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8 fichiers Excel templates téléchargeables</w:t>
            </w:r>
          </w:p>
        </w:tc>
      </w:tr>
    </w:tbl>
    <w:p>
      <w:r>
        <w:br w:type="page"/>
      </w:r>
    </w:p>
    <w:p>
      <w:pPr>
        <w:pStyle w:val="Heading1"/>
      </w:pPr>
      <w:r>
        <w:t xml:space="preserve">10. Données de Référence à Précharger</w:t>
      </w:r>
    </w:p>
    <w:p>
      <w:pPr>
        <w:spacing w:after="160" w:line="276"/>
        <w:jc w:val="both"/>
      </w:pPr>
      <w:r>
        <w:rPr>
          <w:rFonts w:ascii="Arial" w:cs="Arial" w:eastAsia="Arial" w:hAnsi="Arial"/>
          <w:b w:val="false"/>
          <w:bCs w:val="false"/>
          <w:i w:val="false"/>
          <w:iCs w:val="false"/>
          <w:color w:val="333333"/>
          <w:sz w:val="21"/>
          <w:szCs w:val="21"/>
        </w:rPr>
        <w:t xml:space="preserve">Le système doit être livré avec les référentiels préchargés. Voici le volume de données à intégrer dans les fichiers JSON de seed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2000"/>
        <w:gridCol w:w="1800"/>
        <w:gridCol w:w="1526"/>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Référentiel</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Domaines</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Standards (approx.)</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ROPs / Impératifs</w:t>
            </w:r>
          </w:p>
        </w:tc>
        <w:tc>
          <w:tcPr>
            <w:tcW w:type="dxa" w:w="1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18"/>
                <w:szCs w:val="18"/>
              </w:rPr>
              <w:t xml:space="preserve">Source officielle</w:t>
            </w:r>
          </w:p>
        </w:tc>
      </w:tr>
      <w:tr>
        <w:tc>
          <w:tcPr>
            <w:tcW w:type="dxa" w:w="25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Accreditation Canada Diamond</w:t>
            </w:r>
          </w:p>
        </w:tc>
        <w:tc>
          <w:tcPr>
            <w:tcW w:type="dxa" w:w="12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8 domaines + 6 catégories ROP</w:t>
            </w:r>
          </w:p>
        </w:tc>
        <w:tc>
          <w:tcPr>
            <w:tcW w:type="dxa" w:w="20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~1166 critères (Qmentum v4)</w:t>
            </w:r>
          </w:p>
        </w:tc>
        <w:tc>
          <w:tcPr>
            <w:tcW w:type="dxa" w:w="1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25 ROPs en 6 catégories</w:t>
            </w:r>
          </w:p>
        </w:tc>
        <w:tc>
          <w:tcPr>
            <w:tcW w:type="dxa" w:w="15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accreditation.ca / store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JCI 8th Edition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5 sections, ~15 chapitres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~300 standards, ~1200 MEs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6 IPSG + chapitres PS, HIT, GHI</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store.jointcommissioninternational.org</w:t>
            </w:r>
          </w:p>
        </w:tc>
      </w:tr>
      <w:tr>
        <w:tc>
          <w:tcPr>
            <w:tcW w:type="dxa" w:w="25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HAS V2025</w:t>
            </w:r>
          </w:p>
        </w:tc>
        <w:tc>
          <w:tcPr>
            <w:tcW w:type="dxa" w:w="12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3 chapitres, 12 objectifs</w:t>
            </w:r>
          </w:p>
        </w:tc>
        <w:tc>
          <w:tcPr>
            <w:tcW w:type="dxa" w:w="20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~113 critères (92 standards + 21 impératifs)</w:t>
            </w:r>
          </w:p>
        </w:tc>
        <w:tc>
          <w:tcPr>
            <w:tcW w:type="dxa" w:w="1800"/>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21 critères impératifs</w:t>
            </w:r>
          </w:p>
        </w:tc>
        <w:tc>
          <w:tcPr>
            <w:tcW w:type="dxa" w:w="1526"/>
            <w:tcBorders>
              <w:top w:val="single" w:color="CCCCCC" w:sz="1"/>
              <w:left w:val="single" w:color="CCCCCC" w:sz="1"/>
              <w:bottom w:val="single" w:color="CCCCCC" w:sz="1"/>
              <w:right w:val="single" w:color="CCCCCC" w:sz="1"/>
            </w:tcBorders>
            <w:shd w:fill="F0F5F7"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000000"/>
                <w:sz w:val="20"/>
                <w:szCs w:val="20"/>
              </w:rPr>
              <w:t xml:space="preserve">has-sante.fr / Calista</w:t>
            </w:r>
          </w:p>
        </w:tc>
      </w:tr>
    </w:tbl>
    <w:p>
      <w:pPr>
        <w:spacing w:after="100"/>
      </w:pPr>
    </w:p>
    <w:p>
      <w:pPr>
        <w:spacing w:after="160" w:line="276"/>
        <w:jc w:val="both"/>
      </w:pPr>
      <w:r>
        <w:rPr>
          <w:rFonts w:ascii="Arial" w:cs="Arial" w:eastAsia="Arial" w:hAnsi="Arial"/>
          <w:b w:val="false"/>
          <w:bCs w:val="false"/>
          <w:i w:val="false"/>
          <w:iCs w:val="false"/>
          <w:color w:val="333333"/>
          <w:sz w:val="21"/>
          <w:szCs w:val="21"/>
        </w:rPr>
        <w:t xml:space="preserve">Priorité de chargement : commencer par Accreditation Canada (cas d’usage principal CHU UM6SS), puis JCI, puis HAS. Les mappings inter-référentiels sont ajoutés progressivement.</w:t>
      </w:r>
    </w:p>
    <w:p>
      <w:pPr>
        <w:spacing w:after="400"/>
      </w:pPr>
    </w:p>
    <w:p>
      <w:pPr>
        <w:pBdr>
          <w:top w:val="single" w:color="2A7B88" w:sz="4" w:space="8"/>
        </w:pBdr>
        <w:spacing w:before="400" w:after="120"/>
        <w:jc w:val="center"/>
      </w:pPr>
      <w:r>
        <w:rPr>
          <w:rFonts w:ascii="Arial" w:cs="Arial" w:eastAsia="Arial" w:hAnsi="Arial"/>
          <w:b/>
          <w:bCs/>
          <w:color w:val="1B3A5C"/>
          <w:sz w:val="24"/>
          <w:szCs w:val="24"/>
        </w:rPr>
        <w:t xml:space="preserve">Fin du Document</w:t>
      </w:r>
    </w:p>
    <w:p>
      <w:pPr>
        <w:spacing w:after="60"/>
        <w:jc w:val="center"/>
      </w:pPr>
      <w:r>
        <w:rPr>
          <w:rFonts w:ascii="Arial" w:cs="Arial" w:eastAsia="Arial" w:hAnsi="Arial"/>
          <w:color w:val="666666"/>
          <w:sz w:val="19"/>
          <w:szCs w:val="19"/>
        </w:rPr>
        <w:t xml:space="preserve">Ce document sert de blueprint pour le développement dans Google Antigravity.</w:t>
      </w:r>
    </w:p>
    <w:p>
      <w:pPr>
        <w:spacing w:after="60"/>
        <w:jc w:val="center"/>
      </w:pPr>
      <w:r>
        <w:rPr>
          <w:rFonts w:ascii="Arial" w:cs="Arial" w:eastAsia="Arial" w:hAnsi="Arial"/>
          <w:color w:val="2A7B88"/>
          <w:sz w:val="19"/>
          <w:szCs w:val="19"/>
        </w:rPr>
        <w:t xml:space="preserve">Dr. Rida Akodad — rida.akodad@gmail.com</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666666"/>
        <w:sz w:val="16"/>
        <w:szCs w:val="16"/>
      </w:rPr>
      <w:t xml:space="preserve">Dr. Rida Akodad | Doctify Health</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7B88" w:sz="2" w:space="4"/>
      </w:pBdr>
      <w:tabs>
        <w:tab w:val="right" w:pos="9026"/>
      </w:tabs>
      <w:spacing w:after="0"/>
    </w:pPr>
    <w:r>
      <w:rPr>
        <w:rFonts w:ascii="Arial" w:cs="Arial" w:eastAsia="Arial" w:hAnsi="Arial"/>
        <w:i/>
        <w:iCs/>
        <w:color w:val="2A7B88"/>
        <w:sz w:val="16"/>
        <w:szCs w:val="16"/>
      </w:rPr>
      <w:t xml:space="preserve">ANDAR — Spec Technique v1.0</w:t>
    </w:r>
    <w:r>
      <w:rPr>
        <w:rFonts w:ascii="Arial" w:cs="Arial" w:eastAsia="Arial" w:hAnsi="Arial"/>
        <w:i/>
        <w:iCs/>
        <w:color w:val="666666"/>
        <w:sz w:val="16"/>
        <w:szCs w:val="16"/>
      </w:rPr>
      <w:t xml:space="preserve">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A7B88"/>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2026-03-31T15:08:35.538Z</dcterms:created>
  <dcterms:modified xsi:type="dcterms:W3CDTF">2026-03-31T15:08:35.539Z</dcterms:modified>
</cp:coreProperties>
</file>

<file path=docProps/custom.xml><?xml version="1.0" encoding="utf-8"?>
<Properties xmlns="http://schemas.openxmlformats.org/officeDocument/2006/custom-properties" xmlns:vt="http://schemas.openxmlformats.org/officeDocument/2006/docPropsVTypes"/>
</file>