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Cartage Contractor Performance — Violation Summary</w:t>
      </w:r>
    </w:p>
    <w:p>
      <w:r>
        <w:rPr>
          <w:b/>
        </w:rPr>
        <w:t xml:space="preserve">Contractor: </w:t>
      </w:r>
      <w:r>
        <w:t>{{ contractor_name }} ({{ cc_number }})</w:t>
      </w:r>
    </w:p>
    <w:p>
      <w:r>
        <w:rPr>
          <w:b/>
        </w:rPr>
        <w:t xml:space="preserve">Evaluation period: </w:t>
      </w:r>
      <w:r>
        <w:t>{{ period }}</w:t>
      </w:r>
    </w:p>
    <w:p>
      <w:r>
        <w:rPr>
          <w:b/>
        </w:rPr>
        <w:t xml:space="preserve">Overall Score: </w:t>
      </w:r>
      <w:r>
        <w:rPr>
          <w:b/>
          <w:sz w:val="28"/>
        </w:rPr>
        <w:t>{{ overall_score }}%</w:t>
      </w:r>
    </w:p>
    <w:p>
      <w:r>
        <w:t>This contractor scored below the 80% compliance threshold for the period above. The category breakdown below shows the incident count and resulting score contribution for each evaluated category. Contractors scoring below 80% are required to submit a corrective action plan within 15 working days of receipt of this report.</w:t>
      </w:r>
    </w:p>
    <w:p>
      <w:pPr>
        <w:pStyle w:val="Heading2"/>
      </w:pPr>
      <w:r>
        <w:t>Category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Incident Count</w:t>
            </w:r>
          </w:p>
        </w:tc>
        <w:tc>
          <w:tcPr>
            <w:tcW w:type="dxa" w:w="2880"/>
          </w:tcPr>
          <w:p>
            <w:r>
              <w:t>Score Contribution</w:t>
            </w:r>
          </w:p>
        </w:tc>
      </w:tr>
      <w:tr>
        <w:tc>
          <w:tcPr>
            <w:tcW w:type="dxa" w:w="2880"/>
          </w:tcPr>
          <w:p>
            <w:r>
              <w:t>{%tr for cat in categories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cat.name }}</w:t>
            </w:r>
          </w:p>
        </w:tc>
        <w:tc>
          <w:tcPr>
            <w:tcW w:type="dxa" w:w="2880"/>
          </w:tcPr>
          <w:p>
            <w:r>
              <w:t>{{ cat.count }}</w:t>
            </w:r>
          </w:p>
        </w:tc>
        <w:tc>
          <w:tcPr>
            <w:tcW w:type="dxa" w:w="2880"/>
          </w:tcPr>
          <w:p>
            <w:r>
              <w:t>{{ cat.score }}%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i/>
        </w:rPr>
        <w:t>This is an automated report generated by the Cartage Contractor Performance Evaluation system. Direct questions to the Fleet Compliance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