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6EC1" w14:textId="77777777" w:rsidR="00FA6ABE" w:rsidRDefault="00000000">
      <w:pPr>
        <w:pStyle w:val="Title"/>
        <w:rPr>
          <w:b/>
          <w:bCs/>
        </w:rPr>
      </w:pPr>
      <w:r>
        <w:rPr>
          <w:b/>
          <w:bCs/>
        </w:rPr>
        <w:t>Superstore Sales Dashboard — Key Insights</w:t>
      </w:r>
    </w:p>
    <w:p w14:paraId="2F6C84D5" w14:textId="77777777" w:rsidR="00B907B7" w:rsidRDefault="00B907B7">
      <w:pPr>
        <w:pStyle w:val="Title"/>
      </w:pPr>
    </w:p>
    <w:p w14:paraId="7FBD9E18" w14:textId="1EEAE843" w:rsidR="00B907B7" w:rsidRPr="00B907B7" w:rsidRDefault="00B907B7" w:rsidP="00B907B7">
      <w:pPr>
        <w:numPr>
          <w:ilvl w:val="0"/>
          <w:numId w:val="6"/>
        </w:numPr>
        <w:spacing w:after="200"/>
        <w:ind w:left="0" w:hanging="284"/>
        <w:rPr>
          <w:sz w:val="32"/>
          <w:szCs w:val="32"/>
        </w:rPr>
      </w:pPr>
      <w:r w:rsidRPr="00B907B7">
        <w:rPr>
          <w:b/>
          <w:bCs/>
          <w:sz w:val="32"/>
          <w:szCs w:val="32"/>
        </w:rPr>
        <w:t>Regional performance:</w:t>
      </w:r>
      <w:r w:rsidRPr="00B907B7">
        <w:rPr>
          <w:sz w:val="32"/>
          <w:szCs w:val="32"/>
        </w:rPr>
        <w:t xml:space="preserve"> West leads all regions with $222,975 in sales (38% of total), more than triple South's $73,765, the lowest-performing region. </w:t>
      </w:r>
    </w:p>
    <w:p w14:paraId="286705D1" w14:textId="6BD66EF4" w:rsidR="00B907B7" w:rsidRPr="00B907B7" w:rsidRDefault="00B907B7" w:rsidP="00B907B7">
      <w:pPr>
        <w:numPr>
          <w:ilvl w:val="0"/>
          <w:numId w:val="6"/>
        </w:numPr>
        <w:spacing w:after="200"/>
        <w:ind w:left="0" w:hanging="284"/>
        <w:rPr>
          <w:sz w:val="32"/>
          <w:szCs w:val="32"/>
        </w:rPr>
      </w:pPr>
      <w:r w:rsidRPr="00B907B7">
        <w:rPr>
          <w:b/>
          <w:bCs/>
          <w:sz w:val="32"/>
          <w:szCs w:val="32"/>
        </w:rPr>
        <w:t>Seasonality:</w:t>
      </w:r>
      <w:r w:rsidRPr="00B907B7">
        <w:rPr>
          <w:sz w:val="32"/>
          <w:szCs w:val="32"/>
        </w:rPr>
        <w:t xml:space="preserve"> Sales rise sharply each November, with Q4 revenue ($120,385) representing a 151% increase over Q1 ($47,853), indicating a strong holiday-driven demand cycle. </w:t>
      </w:r>
    </w:p>
    <w:p w14:paraId="1356E996" w14:textId="1C6B7F81" w:rsidR="00B907B7" w:rsidRPr="00B907B7" w:rsidRDefault="00B907B7" w:rsidP="00B907B7">
      <w:pPr>
        <w:numPr>
          <w:ilvl w:val="0"/>
          <w:numId w:val="6"/>
        </w:numPr>
        <w:spacing w:after="200"/>
        <w:ind w:left="0" w:hanging="284"/>
        <w:rPr>
          <w:sz w:val="32"/>
          <w:szCs w:val="32"/>
        </w:rPr>
      </w:pPr>
      <w:r w:rsidRPr="00B907B7">
        <w:rPr>
          <w:b/>
          <w:bCs/>
          <w:sz w:val="32"/>
          <w:szCs w:val="32"/>
        </w:rPr>
        <w:t>Category performance:</w:t>
      </w:r>
      <w:r w:rsidRPr="00B907B7">
        <w:rPr>
          <w:sz w:val="32"/>
          <w:szCs w:val="32"/>
        </w:rPr>
        <w:t xml:space="preserve"> Technology is the top-selling category, accounting for 40% of total sales, followed by Office Supplies (34%) and Furniture (26%). </w:t>
      </w:r>
    </w:p>
    <w:p w14:paraId="6FF66BDC" w14:textId="0BD397DF" w:rsidR="00FA6ABE" w:rsidRPr="00B907B7" w:rsidRDefault="00B907B7" w:rsidP="00B907B7">
      <w:pPr>
        <w:numPr>
          <w:ilvl w:val="0"/>
          <w:numId w:val="6"/>
        </w:numPr>
        <w:spacing w:after="200"/>
        <w:ind w:left="0" w:hanging="284"/>
        <w:rPr>
          <w:sz w:val="32"/>
          <w:szCs w:val="32"/>
        </w:rPr>
      </w:pPr>
      <w:r w:rsidRPr="00B907B7">
        <w:rPr>
          <w:b/>
          <w:bCs/>
          <w:sz w:val="32"/>
          <w:szCs w:val="32"/>
        </w:rPr>
        <w:t>Growth opportunity:</w:t>
      </w:r>
      <w:r w:rsidRPr="00B907B7">
        <w:rPr>
          <w:sz w:val="32"/>
          <w:szCs w:val="32"/>
        </w:rPr>
        <w:t xml:space="preserve"> The West–Technology combination consistently generates the highest monthly sales figures, positioning it as the top candidate for continued investment.</w:t>
      </w:r>
    </w:p>
    <w:sectPr w:rsidR="00FA6ABE" w:rsidRPr="00B907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441"/>
    <w:multiLevelType w:val="hybridMultilevel"/>
    <w:tmpl w:val="846EFF4E"/>
    <w:lvl w:ilvl="0" w:tplc="DF72D36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277EF"/>
    <w:multiLevelType w:val="hybridMultilevel"/>
    <w:tmpl w:val="4C966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A00C4"/>
    <w:multiLevelType w:val="hybridMultilevel"/>
    <w:tmpl w:val="385A3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26FE0"/>
    <w:multiLevelType w:val="hybridMultilevel"/>
    <w:tmpl w:val="24DA1832"/>
    <w:lvl w:ilvl="0" w:tplc="B5C25192">
      <w:start w:val="1"/>
      <w:numFmt w:val="bullet"/>
      <w:lvlText w:val="●"/>
      <w:lvlJc w:val="left"/>
      <w:pPr>
        <w:ind w:left="720" w:hanging="360"/>
      </w:pPr>
    </w:lvl>
    <w:lvl w:ilvl="1" w:tplc="DEB09E28">
      <w:start w:val="1"/>
      <w:numFmt w:val="bullet"/>
      <w:lvlText w:val="○"/>
      <w:lvlJc w:val="left"/>
      <w:pPr>
        <w:ind w:left="1440" w:hanging="360"/>
      </w:pPr>
    </w:lvl>
    <w:lvl w:ilvl="2" w:tplc="0D502654">
      <w:start w:val="1"/>
      <w:numFmt w:val="bullet"/>
      <w:lvlText w:val="■"/>
      <w:lvlJc w:val="left"/>
      <w:pPr>
        <w:ind w:left="2160" w:hanging="360"/>
      </w:pPr>
    </w:lvl>
    <w:lvl w:ilvl="3" w:tplc="BAC498CC">
      <w:start w:val="1"/>
      <w:numFmt w:val="bullet"/>
      <w:lvlText w:val="●"/>
      <w:lvlJc w:val="left"/>
      <w:pPr>
        <w:ind w:left="2880" w:hanging="360"/>
      </w:pPr>
    </w:lvl>
    <w:lvl w:ilvl="4" w:tplc="66EE4642">
      <w:start w:val="1"/>
      <w:numFmt w:val="bullet"/>
      <w:lvlText w:val="○"/>
      <w:lvlJc w:val="left"/>
      <w:pPr>
        <w:ind w:left="3600" w:hanging="360"/>
      </w:pPr>
    </w:lvl>
    <w:lvl w:ilvl="5" w:tplc="C1E4D55E">
      <w:start w:val="1"/>
      <w:numFmt w:val="bullet"/>
      <w:lvlText w:val="■"/>
      <w:lvlJc w:val="left"/>
      <w:pPr>
        <w:ind w:left="4320" w:hanging="360"/>
      </w:pPr>
    </w:lvl>
    <w:lvl w:ilvl="6" w:tplc="22AA30C0">
      <w:start w:val="1"/>
      <w:numFmt w:val="bullet"/>
      <w:lvlText w:val="●"/>
      <w:lvlJc w:val="left"/>
      <w:pPr>
        <w:ind w:left="5040" w:hanging="360"/>
      </w:pPr>
    </w:lvl>
    <w:lvl w:ilvl="7" w:tplc="A5B80166">
      <w:start w:val="1"/>
      <w:numFmt w:val="bullet"/>
      <w:lvlText w:val="●"/>
      <w:lvlJc w:val="left"/>
      <w:pPr>
        <w:ind w:left="5760" w:hanging="360"/>
      </w:pPr>
    </w:lvl>
    <w:lvl w:ilvl="8" w:tplc="F3CA35C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7CE1846"/>
    <w:multiLevelType w:val="hybridMultilevel"/>
    <w:tmpl w:val="B4B87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75507F"/>
    <w:multiLevelType w:val="hybridMultilevel"/>
    <w:tmpl w:val="FF08856E"/>
    <w:lvl w:ilvl="0" w:tplc="E9E6D52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01576">
    <w:abstractNumId w:val="3"/>
    <w:lvlOverride w:ilvl="0">
      <w:startOverride w:val="1"/>
    </w:lvlOverride>
  </w:num>
  <w:num w:numId="2" w16cid:durableId="1023364192">
    <w:abstractNumId w:val="4"/>
  </w:num>
  <w:num w:numId="3" w16cid:durableId="590697480">
    <w:abstractNumId w:val="5"/>
  </w:num>
  <w:num w:numId="4" w16cid:durableId="1577670231">
    <w:abstractNumId w:val="2"/>
  </w:num>
  <w:num w:numId="5" w16cid:durableId="1404719265">
    <w:abstractNumId w:val="0"/>
  </w:num>
  <w:num w:numId="6" w16cid:durableId="1387949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ABE"/>
    <w:rsid w:val="002E4266"/>
    <w:rsid w:val="00B907B7"/>
    <w:rsid w:val="00FA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1014"/>
  <w15:docId w15:val="{456D143E-B881-4981-A0D0-646667DE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Ansharah Suhail</cp:lastModifiedBy>
  <cp:revision>2</cp:revision>
  <dcterms:created xsi:type="dcterms:W3CDTF">2026-08-23T09:03:00Z</dcterms:created>
  <dcterms:modified xsi:type="dcterms:W3CDTF">2026-08-23T09:03:00Z</dcterms:modified>
</cp:coreProperties>
</file>