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FPC Suspension Strain Gauge — Research</w:t>
      </w:r>
    </w:p>
    <w:p>
      <w:r>
        <w:t>Formula Slug | LV Onboarding | Research and feasibility calculations</w:t>
      </w:r>
    </w:p>
    <w:p>
      <w:pPr>
        <w:pStyle w:val="Heading1"/>
      </w:pPr>
      <w:r>
        <w:t>1. Engineering Summary</w:t>
      </w:r>
    </w:p>
    <w:p>
      <w:r>
        <w:t>A copper serpentine patterned on a polyimide flexible PCB could act as a bonded strain sensor on a suspension member. Its key advantage is integrated, repeatable fabrication and routing; its key limitations are copper’s low resistivity, strong temperature dependence, and uncertainty in strain transfer through the adhesive and flexible substrate. The calculations below indicate that a 350 Ω single-layer copper sensor is much larger than a conventional foil gauge. A lower-resistance copper FPC is therefore a sensible proof-of-concept to discuss with the team, not a validated replacement for a commercial gauge.</w:t>
      </w:r>
    </w:p>
    <w:p>
      <w:pPr>
        <w:pStyle w:val="Heading1"/>
      </w:pPr>
      <w:r>
        <w:t>2. Operating Principle and Measurement</w:t>
      </w:r>
    </w:p>
    <w:p>
      <w:r>
        <w:t>Strain ε = ΔL/L. Gauge factor GF = (ΔR/R)/ε; a metallic gauge often has GF near 2, but the effective GF of a bonded copper-on-polyimide design must be calibrated. For an illustrative 350 Ω gauge at 500 microstrain and GF = 2: ΔR = GF × ε × R = 2 × 0.0005 × 350 = 0.35 Ω. The 500 microstrain value is an example, not a verified suspension loading condition.</w:t>
      </w:r>
    </w:p>
    <w:p>
      <w:r>
        <w:t>A quarter Wheatstone bridge with one active gauge gives approximately |Vout|/Vex ≈ |ΔR|/(4R) for small changes. A half or full bridge may improve sensitivity or temperature rejection, but only when gauge orientation and loading justify the arrangement. Under pure axial tension, gauges on opposite sides of a tube generally both experience tensile strain; opposite-sign strain is expected for bending about the relevant axis.</w:t>
      </w:r>
    </w:p>
    <w:p>
      <w:pPr>
        <w:pStyle w:val="Heading1"/>
      </w:pPr>
      <w:r>
        <w:t>3. Existing FSAE-Style Approach and FPC Tradeoffs</w:t>
      </w:r>
    </w:p>
    <w:p>
      <w:r>
        <w:t>A conventional suspension-load measurement approach bonds commercial foil gauges to a prepared pushrod, pullrod, or suspension tube, then reads the bridge using low-noise instrumentation and a DAQ. Gauge orientation depends on whether the objective is axial force, bending, or a combination. Specific named-team implementations should be cited before attributing them to a university; this document does not make unsupported team-specific claims.</w:t>
      </w:r>
    </w:p>
    <w:p>
      <w:pPr>
        <w:pStyle w:val="ListBullet"/>
      </w:pPr>
      <w:r>
        <w:t>Potential FPC benefits: repeatable copper geometry; integrated connection tail and pads; conformal packaging; low-cost design iterations; convenient multi-gauge arrays.</w:t>
      </w:r>
    </w:p>
    <w:p>
      <w:pPr>
        <w:pStyle w:val="ListBullet"/>
      </w:pPr>
      <w:r>
        <w:t>Potential FPC drawbacks: large resistance footprint; copper temperature coefficient (~0.0039/°C); substrate/adhesive strain-transfer errors; copper fatigue; humidity, vibration, lead motion, and trace-width variation.</w:t>
      </w:r>
    </w:p>
    <w:p>
      <w:pPr>
        <w:pStyle w:val="ListBullet"/>
      </w:pPr>
      <w:r>
        <w:t>For a bonded sensor, strain transfer, adhesive cure, surface preparation, protection, and calibration matter as much as nominal trace resistance.</w:t>
      </w:r>
    </w:p>
    <w:p>
      <w:pPr>
        <w:pStyle w:val="Heading1"/>
      </w:pPr>
      <w:r>
        <w:t>4. JLCPCB Design Rules and Explicit Assumptions</w:t>
      </w:r>
    </w:p>
    <w:p>
      <w:r>
        <w:t>JLCPCB’s flex-PCB capabilities list 35 µm (1 oz) and 18 µm (0.5 oz) outer copper options. For 1 oz flex copper, regular minimum width/spacing is 4/4 mil (approximately 0.10/0.10 mm); for 0.5 oz, it is 3.5/3.5 mil (approximately 0.089/0.089 mm). To compare copper thickness alone, both cases below intentionally use the same 0.10 mm width and 0.10 mm spacing. These are manufacturing minimums, not preferred high-yield design targets. Copper width tolerance is listed as ±20%.</w:t>
      </w:r>
    </w:p>
    <w:p>
      <w:r>
        <w:t>Assumptions: copper resistivity ρ = 1.68 × 10⁻⁸ Ω·m at ~20 °C; nominal width w = 0.10 mm = 1 × 10⁻⁴ m; spacing s = 0.10 mm; target R = 350 Ω; nominal copper thickness t = 35 or 18 µm. Ignore plating, etch variation, turn lengths, pads, lead resistance, and temperature for the initial ideal calculation.</w:t>
      </w:r>
    </w:p>
    <w:p>
      <w:pPr>
        <w:pStyle w:val="Heading1"/>
      </w:pPr>
      <w:r>
        <w:t>5. Required Copper Trace Length for 350 Ω</w:t>
      </w:r>
    </w:p>
    <w:p>
      <w:r>
        <w:t>R = ρL/(wt), therefore L = Rwt/ρ. Resistance per meter = ρ/(wt).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Copper</w:t>
            </w:r>
          </w:p>
        </w:tc>
        <w:tc>
          <w:tcPr>
            <w:tcW w:type="dxa" w:w="2160"/>
          </w:tcPr>
          <w:p>
            <w:r>
              <w:t>R per meter</w:t>
            </w:r>
          </w:p>
        </w:tc>
        <w:tc>
          <w:tcPr>
            <w:tcW w:type="dxa" w:w="2160"/>
          </w:tcPr>
          <w:p>
            <w:r>
              <w:t>Length for 350 Ω</w:t>
            </w:r>
          </w:p>
        </w:tc>
        <w:tc>
          <w:tcPr>
            <w:tcW w:type="dxa" w:w="2160"/>
          </w:tcPr>
          <w:p>
            <w:r>
              <w:t>Ideal square active region</w:t>
            </w:r>
          </w:p>
        </w:tc>
      </w:tr>
      <w:tr>
        <w:tc>
          <w:tcPr>
            <w:tcW w:type="dxa" w:w="2160"/>
          </w:tcPr>
          <w:p>
            <w:r>
              <w:t>35 µm (1 oz)</w:t>
            </w:r>
          </w:p>
        </w:tc>
        <w:tc>
          <w:tcPr>
            <w:tcW w:type="dxa" w:w="2160"/>
          </w:tcPr>
          <w:p>
            <w:r>
              <w:t>4.80 Ω/m</w:t>
            </w:r>
          </w:p>
        </w:tc>
        <w:tc>
          <w:tcPr>
            <w:tcW w:type="dxa" w:w="2160"/>
          </w:tcPr>
          <w:p>
            <w:r>
              <w:t>72.9 m</w:t>
            </w:r>
          </w:p>
        </w:tc>
        <w:tc>
          <w:tcPr>
            <w:tcW w:type="dxa" w:w="2160"/>
          </w:tcPr>
          <w:p>
            <w:r>
              <w:t>~121 × 121 mm</w:t>
            </w:r>
          </w:p>
        </w:tc>
      </w:tr>
      <w:tr>
        <w:tc>
          <w:tcPr>
            <w:tcW w:type="dxa" w:w="2160"/>
          </w:tcPr>
          <w:p>
            <w:r>
              <w:t>18 µm (0.5 oz)</w:t>
            </w:r>
          </w:p>
        </w:tc>
        <w:tc>
          <w:tcPr>
            <w:tcW w:type="dxa" w:w="2160"/>
          </w:tcPr>
          <w:p>
            <w:r>
              <w:t>9.33 Ω/m</w:t>
            </w:r>
          </w:p>
        </w:tc>
        <w:tc>
          <w:tcPr>
            <w:tcW w:type="dxa" w:w="2160"/>
          </w:tcPr>
          <w:p>
            <w:r>
              <w:t>37.5 m</w:t>
            </w:r>
          </w:p>
        </w:tc>
        <w:tc>
          <w:tcPr>
            <w:tcW w:type="dxa" w:w="2160"/>
          </w:tcPr>
          <w:p>
            <w:r>
              <w:t>~87 × 87 mm</w:t>
            </w:r>
          </w:p>
        </w:tc>
      </w:tr>
    </w:tbl>
    <w:p>
      <w:r>
        <w:t>Serpentine pitch p = w + s = 0.20 mm. For N long parallel legs of length H inside a near-square area W ≈ H, use W ≈ Np and L ≈ NH. Hence W ≈ H ≈ √(Lp). For 35 µm: √(72,900 mm × 0.20 mm) ≈ 120.8 mm. For 18 µm: √(37,500 mm × 0.20 mm) ≈ 86.6 mm. Rounded leg counts are ~604 and ~433, respectively. This first-pass model omits U-turn geometry and edge clearances, so a real layout will be larger.</w:t>
      </w:r>
    </w:p>
    <w:p>
      <w:r>
        <w:t>Counterintuitively, thinner copper needs less length to achieve the same resistance because it has a smaller cross-sectional area. The original draft’s 20.8 m / 40.5 m values were incorrect.</w:t>
      </w:r>
    </w:p>
    <w:p>
      <w:pPr>
        <w:pStyle w:val="Heading1"/>
      </w:pPr>
      <w:r>
        <w:t>6. Proposed FPC Geometry and Practical Alternative</w:t>
      </w:r>
    </w:p>
    <w:p>
      <w:r>
        <w:t>Concept: one continuous serpentine copper trace on a single-layer polyimide FPC. Long sensing legs run parallel to the intended axial strain direction; rounded U-turns connect adjacent legs. Keep pads, cable tail, and strain relief outside the active region. Maintain ≥0.3 mm copper-to-outline clearance per JLCPCB and confirm bend/coverlay rules before fabrication.</w:t>
      </w:r>
    </w:p>
    <w:p>
      <w:r>
        <w:t>Dimensioned 350 Ω concept (ideal, not fabrication-ready): 1 oz copper, 0.10 mm trace width, 0.10 mm gap, approximately 604 parallel legs, 120.8 mm active leg length, ~121 × 121 mm active region, plus turns, margins, and connection tail. The shape is a calculation target for KiCad, not a completed routing design.</w:t>
      </w:r>
    </w:p>
    <w:p>
      <w:r>
        <w:t>A smaller proof-of-concept could target a lower resistance. For example, a 20 × 20 mm ideal active square at 0.20 mm pitch contains ~100 legs × 20 mm ≈ 2.0 m of trace. This is ~9.6 Ω at 35 µm copper or ~18.7 Ω at 18 µm copper, before turns and margins. Low-resistance bridges create higher excitation current, self-heating, and greater relative lead-resistance error, so the readout architecture must be reconsidered rather than merely increasing amplifier gain.</w:t>
      </w:r>
    </w:p>
    <w:p>
      <w:pPr>
        <w:pStyle w:val="Heading1"/>
      </w:pPr>
      <w:r>
        <w:t>7. Readout, Calibration, and Validation</w:t>
      </w:r>
    </w:p>
    <w:p>
      <w:pPr>
        <w:pStyle w:val="ListBullet"/>
      </w:pPr>
      <w:r>
        <w:t>Start with a quarter-bridge prototype and a low-noise bridge readout; choose bridge completion resistors and excitation to match actual gauge resistance and power limits.</w:t>
      </w:r>
    </w:p>
    <w:p>
      <w:pPr>
        <w:pStyle w:val="ListBullet"/>
      </w:pPr>
      <w:r>
        <w:t>Measure the as-built trace resistance and temperature coefficient before bonding. A 350 Ω copper element changes by roughly 1.37 Ω per °C from copper TCR alone, much larger than the illustrative 0.35 Ω strain change at 500 µε.</w:t>
      </w:r>
    </w:p>
    <w:p>
      <w:pPr>
        <w:pStyle w:val="ListBullet"/>
      </w:pPr>
      <w:r>
        <w:t>Bond a prototype to a representative coupon or suspension member using an approved adhesive procedure; compare measured strain with a calibrated commercial foil gauge during known loading.</w:t>
      </w:r>
    </w:p>
    <w:p>
      <w:pPr>
        <w:pStyle w:val="ListBullet"/>
      </w:pPr>
      <w:r>
        <w:t>Repeat tests for tension, bending, temperature changes, vibration, and cable motion. Confirm whether two gauges provide bending rejection or enhancement for the intended placement; do not assume opposing sides are tension/compression under axial load.</w:t>
      </w:r>
    </w:p>
    <w:p>
      <w:pPr>
        <w:pStyle w:val="ListBullet"/>
      </w:pPr>
      <w:r>
        <w:t>Use suitable lead compensation (e.g., four-wire resistance measurement during characterization or bridge-specific remote sensing). Four-wire connection alone does not automatically remove every bridge error.</w:t>
      </w:r>
    </w:p>
    <w:p>
      <w:pPr>
        <w:pStyle w:val="Heading1"/>
      </w:pPr>
      <w:r>
        <w:t>8. Questions for Initial Check-In</w:t>
      </w:r>
    </w:p>
    <w:p>
      <w:pPr>
        <w:pStyle w:val="ListBullet"/>
      </w:pPr>
      <w:r>
        <w:t>Is 350 Ω a strict requirement for the final device, or a calculation exercise before considering a lower-resistance copper prototype?</w:t>
      </w:r>
    </w:p>
    <w:p>
      <w:pPr>
        <w:pStyle w:val="ListBullet"/>
      </w:pPr>
      <w:r>
        <w:t>Which suspension member, material, and load component (axial versus bending) should be measured?</w:t>
      </w:r>
    </w:p>
    <w:p>
      <w:pPr>
        <w:pStyle w:val="ListBullet"/>
      </w:pPr>
      <w:r>
        <w:t>Would the team prefer a compact low-resistance FPC demonstrator or a large 350 Ω geometry in KiCad first?</w:t>
      </w:r>
    </w:p>
    <w:p>
      <w:pPr>
        <w:pStyle w:val="Heading1"/>
      </w:pPr>
      <w:r>
        <w:t>Sources and Assumptions</w:t>
      </w:r>
    </w:p>
    <w:p>
      <w:r>
        <w:t>JLCPCB Flexible PCB Capabilities: https://jlcpcb.com/capabilities/flex-pcb-capabilities</w:t>
      </w:r>
    </w:p>
    <w:p>
      <w:r>
        <w:t>JLCPCB Copper Weight Guide: https://jlcpcb.com/help/article/jlcpcb-copper-weight</w:t>
      </w:r>
    </w:p>
    <w:p>
      <w:r>
        <w:t>Strain gauge overview and gauge-factor background: https://en.wikipedia.org/wiki/Strain_gauge</w:t>
      </w:r>
    </w:p>
    <w:p>
      <w:r>
        <w:t>Copper resistivity and TCR values are standard approximate room-temperature engineering constants; actual fabricated traces must be characterized. Named university examples from the earlier draft were omitted because primary citations were not established.</w:t>
      </w:r>
    </w:p>
    <w:sectPr w:rsidR="00FC693F" w:rsidRPr="0006063C" w:rsidSect="00034616"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16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1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416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