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32C6" w14:textId="4CAC2E6E" w:rsidR="002C5581" w:rsidRDefault="003C41F5" w:rsidP="003C41F5">
      <w:pPr>
        <w:jc w:val="center"/>
        <w:rPr>
          <w:rFonts w:ascii="Times New Roman" w:hAnsi="Times New Roman" w:cs="Times New Roman"/>
          <w:b/>
          <w:bCs/>
          <w:sz w:val="32"/>
          <w:szCs w:val="32"/>
        </w:rPr>
      </w:pPr>
      <w:r w:rsidRPr="003C41F5">
        <w:rPr>
          <w:rFonts w:ascii="Times New Roman" w:hAnsi="Times New Roman" w:cs="Times New Roman"/>
          <w:b/>
          <w:bCs/>
          <w:sz w:val="32"/>
          <w:szCs w:val="32"/>
        </w:rPr>
        <w:t>From Sequence to Structure: Visualizing the HBB Mutation Site Responsible for Sickle Cell Anaemia</w:t>
      </w:r>
    </w:p>
    <w:p w14:paraId="3A931F0A" w14:textId="4E7B4D20" w:rsidR="003C41F5" w:rsidRDefault="008B02B1" w:rsidP="003C41F5">
      <w:pPr>
        <w:rPr>
          <w:rFonts w:ascii="Times New Roman" w:hAnsi="Times New Roman" w:cs="Times New Roman"/>
          <w:b/>
          <w:bCs/>
          <w:sz w:val="28"/>
          <w:szCs w:val="28"/>
        </w:rPr>
      </w:pPr>
      <w:r w:rsidRPr="008B02B1">
        <w:rPr>
          <w:rFonts w:ascii="Times New Roman" w:hAnsi="Times New Roman" w:cs="Times New Roman"/>
          <w:b/>
          <w:bCs/>
          <w:sz w:val="28"/>
          <w:szCs w:val="28"/>
        </w:rPr>
        <w:t>Introduction</w:t>
      </w:r>
    </w:p>
    <w:p w14:paraId="0E843096" w14:textId="2DC70CB9" w:rsidR="008B02B1" w:rsidRPr="00DF1E31" w:rsidRDefault="009E763F" w:rsidP="003C41F5">
      <w:pPr>
        <w:rPr>
          <w:rFonts w:ascii="Times New Roman" w:hAnsi="Times New Roman" w:cs="Times New Roman"/>
          <w:sz w:val="24"/>
          <w:szCs w:val="24"/>
        </w:rPr>
      </w:pPr>
      <w:r w:rsidRPr="00DF1E31">
        <w:rPr>
          <w:rFonts w:ascii="Times New Roman" w:hAnsi="Times New Roman" w:cs="Times New Roman"/>
          <w:sz w:val="24"/>
          <w:szCs w:val="24"/>
        </w:rPr>
        <w:t>Since we have already performed pairwise alignment using BLASTp and multiple sequence alignment using Clustal Omega, we have seen how similar the HBB sequences of primates are and how different they are from rodents. From this pairwise alignment and multiple sequence alignment, we can identify which amino acids differ between sequences, but this alone does not tell us how significant that difference actually is. A single amino acid change can sometimes have little effect, or it can drastically alter the protein's shape and function, depending on where that position is located in the 3D structure. Therefore, studying the structure of the protein is important to understand the real impact of a mutation such as Glu6Val, which causes sickle cell anaemia. In this task, the 3D structure of HBB was predicted using AlphaFold, and the position of residue 6 was examined to understand why this specific mutation has such a significant effect on the protein.</w:t>
      </w:r>
    </w:p>
    <w:p w14:paraId="08824ACC" w14:textId="56B2219A" w:rsidR="00C30391" w:rsidRDefault="00C30391" w:rsidP="003C41F5">
      <w:pPr>
        <w:rPr>
          <w:rFonts w:ascii="Times New Roman" w:hAnsi="Times New Roman" w:cs="Times New Roman"/>
          <w:b/>
          <w:bCs/>
          <w:sz w:val="28"/>
          <w:szCs w:val="28"/>
        </w:rPr>
      </w:pPr>
      <w:r w:rsidRPr="00C30391">
        <w:rPr>
          <w:rFonts w:ascii="Times New Roman" w:hAnsi="Times New Roman" w:cs="Times New Roman"/>
          <w:b/>
          <w:bCs/>
          <w:sz w:val="28"/>
          <w:szCs w:val="28"/>
        </w:rPr>
        <w:t>Method</w:t>
      </w:r>
    </w:p>
    <w:p w14:paraId="04491ADF" w14:textId="77777777" w:rsidR="003C5608" w:rsidRPr="00DF1E31" w:rsidRDefault="0078231B" w:rsidP="003C5608">
      <w:pPr>
        <w:rPr>
          <w:rFonts w:ascii="Times New Roman" w:hAnsi="Times New Roman" w:cs="Times New Roman"/>
          <w:sz w:val="24"/>
          <w:szCs w:val="24"/>
        </w:rPr>
      </w:pPr>
      <w:r w:rsidRPr="00DF1E31">
        <w:rPr>
          <w:rFonts w:ascii="Times New Roman" w:hAnsi="Times New Roman" w:cs="Times New Roman"/>
          <w:sz w:val="24"/>
          <w:szCs w:val="24"/>
        </w:rPr>
        <w:t>We started this task by getting the PDB structure of HBB from AlphaFold DB, where we searched for HBB human or the accession P68871. AlphaFold already has predictions pre-computed for all human proteins. After downloading the PDB file, we opened it in PyMOL, where we could see the 3D molecular structure of the HBB protein.</w:t>
      </w:r>
    </w:p>
    <w:p w14:paraId="24C1913F" w14:textId="16DD7AA5" w:rsidR="0078231B" w:rsidRPr="00DF1E31" w:rsidRDefault="0077201B" w:rsidP="003C41F5">
      <w:pPr>
        <w:rPr>
          <w:rFonts w:ascii="Times New Roman" w:hAnsi="Times New Roman" w:cs="Times New Roman"/>
          <w:sz w:val="24"/>
          <w:szCs w:val="24"/>
        </w:rPr>
      </w:pPr>
      <w:r w:rsidRPr="00DF1E31">
        <w:rPr>
          <w:rFonts w:ascii="Times New Roman" w:hAnsi="Times New Roman" w:cs="Times New Roman"/>
          <w:sz w:val="24"/>
          <w:szCs w:val="24"/>
        </w:rPr>
        <w:t>First, we viewed the protein in cartoon form to understand its overall folded structure. Then, we selected residue 6, the site of the sickle cell mutation, and highlighted it in yellow using stick representation, so that its exact position in the protein could be seen clearly. After that, we used surface representation to check whether residue 6 was present on the outer exposed surface or buried inside the protein. Finally, to see the h</w:t>
      </w:r>
      <w:r w:rsidR="00E55827" w:rsidRPr="00DF1E31">
        <w:rPr>
          <w:rFonts w:ascii="Times New Roman" w:hAnsi="Times New Roman" w:cs="Times New Roman"/>
          <w:sz w:val="24"/>
          <w:szCs w:val="24"/>
        </w:rPr>
        <w:t>e</w:t>
      </w:r>
      <w:r w:rsidRPr="00DF1E31">
        <w:rPr>
          <w:rFonts w:ascii="Times New Roman" w:hAnsi="Times New Roman" w:cs="Times New Roman"/>
          <w:sz w:val="24"/>
          <w:szCs w:val="24"/>
        </w:rPr>
        <w:t>me groups, which are not present in the AlphaFold predicted structure, we downloaded the experimentally solved h</w:t>
      </w:r>
      <w:r w:rsidR="00E55827" w:rsidRPr="00DF1E31">
        <w:rPr>
          <w:rFonts w:ascii="Times New Roman" w:hAnsi="Times New Roman" w:cs="Times New Roman"/>
          <w:sz w:val="24"/>
          <w:szCs w:val="24"/>
        </w:rPr>
        <w:t>a</w:t>
      </w:r>
      <w:r w:rsidRPr="00DF1E31">
        <w:rPr>
          <w:rFonts w:ascii="Times New Roman" w:hAnsi="Times New Roman" w:cs="Times New Roman"/>
          <w:sz w:val="24"/>
          <w:szCs w:val="24"/>
        </w:rPr>
        <w:t>emoglobin structure (PDB ID: 1A3N). The four heme groups were then displayed in red, along with the protein in cartoon form.</w:t>
      </w:r>
    </w:p>
    <w:p w14:paraId="01A63820" w14:textId="60A97875" w:rsidR="00D5165D" w:rsidRDefault="002C4790" w:rsidP="003C41F5">
      <w:pPr>
        <w:rPr>
          <w:rFonts w:ascii="Times New Roman" w:hAnsi="Times New Roman" w:cs="Times New Roman"/>
          <w:b/>
          <w:bCs/>
          <w:sz w:val="28"/>
          <w:szCs w:val="28"/>
        </w:rPr>
      </w:pPr>
      <w:r w:rsidRPr="002C4790">
        <w:rPr>
          <w:rFonts w:ascii="Times New Roman" w:hAnsi="Times New Roman" w:cs="Times New Roman"/>
          <w:b/>
          <w:bCs/>
          <w:sz w:val="28"/>
          <w:szCs w:val="28"/>
        </w:rPr>
        <w:t>Result</w:t>
      </w:r>
    </w:p>
    <w:p w14:paraId="2E942BB3" w14:textId="77777777" w:rsidR="00D200AB" w:rsidRDefault="002C4790" w:rsidP="002C4790">
      <w:pPr>
        <w:rPr>
          <w:rFonts w:ascii="Times New Roman" w:hAnsi="Times New Roman" w:cs="Times New Roman"/>
          <w:sz w:val="24"/>
          <w:szCs w:val="24"/>
        </w:rPr>
      </w:pPr>
      <w:r w:rsidRPr="00DF1E31">
        <w:rPr>
          <w:rFonts w:ascii="Times New Roman" w:hAnsi="Times New Roman" w:cs="Times New Roman"/>
          <w:sz w:val="24"/>
          <w:szCs w:val="24"/>
        </w:rPr>
        <w:t>The AlphaFold-predicted structure of HBB showed a compact structure mainly made up of alpha-helices connected by short loop regions, which is similar to the known structure of</w:t>
      </w:r>
    </w:p>
    <w:p w14:paraId="34FBDF4C" w14:textId="3EC53522" w:rsidR="002C4790" w:rsidRDefault="002C4790" w:rsidP="002C4790">
      <w:pPr>
        <w:rPr>
          <w:rFonts w:ascii="Times New Roman" w:hAnsi="Times New Roman" w:cs="Times New Roman"/>
          <w:sz w:val="24"/>
          <w:szCs w:val="24"/>
        </w:rPr>
      </w:pPr>
      <w:r w:rsidRPr="00DF1E31">
        <w:rPr>
          <w:rFonts w:ascii="Times New Roman" w:hAnsi="Times New Roman" w:cs="Times New Roman"/>
          <w:sz w:val="24"/>
          <w:szCs w:val="24"/>
        </w:rPr>
        <w:lastRenderedPageBreak/>
        <w:t>globin proteins (Figure 1).</w:t>
      </w:r>
      <w:r w:rsidR="00D200AB" w:rsidRPr="00D200AB">
        <w:rPr>
          <w:rFonts w:ascii="Times New Roman" w:hAnsi="Times New Roman" w:cs="Times New Roman"/>
          <w:noProof/>
          <w:sz w:val="24"/>
          <w:szCs w:val="24"/>
        </w:rPr>
        <w:t xml:space="preserve"> </w:t>
      </w:r>
      <w:r w:rsidR="00D200AB">
        <w:rPr>
          <w:rFonts w:ascii="Times New Roman" w:hAnsi="Times New Roman" w:cs="Times New Roman"/>
          <w:noProof/>
          <w:sz w:val="24"/>
          <w:szCs w:val="24"/>
        </w:rPr>
        <w:drawing>
          <wp:inline distT="0" distB="0" distL="0" distR="0" wp14:anchorId="0B056029" wp14:editId="7E903622">
            <wp:extent cx="5731510" cy="2844800"/>
            <wp:effectExtent l="0" t="0" r="2540" b="0"/>
            <wp:docPr id="205159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19957" name="Picture 387419957"/>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inline>
        </w:drawing>
      </w:r>
    </w:p>
    <w:p w14:paraId="121F093C" w14:textId="199B6177" w:rsidR="004914B5" w:rsidRPr="00CA1D77" w:rsidRDefault="00CA1D77" w:rsidP="00CA1D77">
      <w:pPr>
        <w:jc w:val="center"/>
        <w:rPr>
          <w:rFonts w:ascii="Times New Roman" w:hAnsi="Times New Roman" w:cs="Times New Roman"/>
          <w:sz w:val="20"/>
          <w:szCs w:val="20"/>
        </w:rPr>
      </w:pPr>
      <w:r w:rsidRPr="00CA1D77">
        <w:rPr>
          <w:rFonts w:ascii="Times New Roman" w:hAnsi="Times New Roman" w:cs="Times New Roman"/>
          <w:i/>
          <w:iCs/>
          <w:sz w:val="20"/>
          <w:szCs w:val="20"/>
        </w:rPr>
        <w:t>Figure 1: AlphaFold-predicted structure of HBB (cartoon view)</w:t>
      </w:r>
    </w:p>
    <w:p w14:paraId="3DB23A4E" w14:textId="617CDEFD" w:rsidR="002C4790" w:rsidRDefault="002C4790" w:rsidP="002C4790">
      <w:pPr>
        <w:rPr>
          <w:rFonts w:ascii="Times New Roman" w:hAnsi="Times New Roman" w:cs="Times New Roman"/>
          <w:sz w:val="24"/>
          <w:szCs w:val="24"/>
        </w:rPr>
      </w:pPr>
      <w:r w:rsidRPr="00DF1E31">
        <w:rPr>
          <w:rFonts w:ascii="Times New Roman" w:hAnsi="Times New Roman" w:cs="Times New Roman"/>
          <w:sz w:val="24"/>
          <w:szCs w:val="24"/>
        </w:rPr>
        <w:t>When residue 6 was highlighted, it could be clearly seen near the beginning of the first helix and close to the surface of the protein. It was not deeply buried inside the protein core (Figure 2).</w:t>
      </w:r>
      <w:r w:rsidR="00EF76EA">
        <w:rPr>
          <w:rFonts w:ascii="Times New Roman" w:hAnsi="Times New Roman" w:cs="Times New Roman"/>
          <w:noProof/>
          <w:sz w:val="24"/>
          <w:szCs w:val="24"/>
        </w:rPr>
        <w:drawing>
          <wp:inline distT="0" distB="0" distL="0" distR="0" wp14:anchorId="0E8381F4" wp14:editId="73F14D6D">
            <wp:extent cx="5731510" cy="3223895"/>
            <wp:effectExtent l="0" t="0" r="2540" b="0"/>
            <wp:docPr id="39150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0982" name="Picture 391509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4D5BB8" w14:textId="44432F80" w:rsidR="00173142" w:rsidRPr="0065742F" w:rsidRDefault="0065742F" w:rsidP="0065742F">
      <w:pPr>
        <w:jc w:val="center"/>
        <w:rPr>
          <w:rFonts w:ascii="Times New Roman" w:hAnsi="Times New Roman" w:cs="Times New Roman"/>
          <w:i/>
          <w:iCs/>
          <w:sz w:val="20"/>
          <w:szCs w:val="20"/>
        </w:rPr>
      </w:pPr>
      <w:r w:rsidRPr="0065742F">
        <w:rPr>
          <w:rFonts w:ascii="Times New Roman" w:hAnsi="Times New Roman" w:cs="Times New Roman"/>
          <w:i/>
          <w:iCs/>
          <w:sz w:val="20"/>
          <w:szCs w:val="20"/>
        </w:rPr>
        <w:t>Figure 2: Residue 6 highlighted in yellow, shown as sticks</w:t>
      </w:r>
    </w:p>
    <w:p w14:paraId="7973980D" w14:textId="653E20BA" w:rsidR="002C4790" w:rsidRDefault="002C4790" w:rsidP="002C4790">
      <w:pPr>
        <w:rPr>
          <w:rFonts w:ascii="Times New Roman" w:hAnsi="Times New Roman" w:cs="Times New Roman"/>
          <w:noProof/>
          <w:sz w:val="24"/>
          <w:szCs w:val="24"/>
        </w:rPr>
      </w:pPr>
      <w:r w:rsidRPr="00DF1E31">
        <w:rPr>
          <w:rFonts w:ascii="Times New Roman" w:hAnsi="Times New Roman" w:cs="Times New Roman"/>
          <w:sz w:val="24"/>
          <w:szCs w:val="24"/>
        </w:rPr>
        <w:t>The surface representation further confirmed this, as residue 6, highlighted in yellow, appeared as an exposed region on the outer surface of the protein rather than being hidden inside it (Figure 3).</w:t>
      </w:r>
      <w:r w:rsidR="00BA497D" w:rsidRPr="00BA497D">
        <w:rPr>
          <w:rFonts w:ascii="Times New Roman" w:hAnsi="Times New Roman" w:cs="Times New Roman"/>
          <w:noProof/>
          <w:sz w:val="24"/>
          <w:szCs w:val="24"/>
        </w:rPr>
        <w:t xml:space="preserve"> </w:t>
      </w:r>
    </w:p>
    <w:p w14:paraId="417F9EFA" w14:textId="7D6AE8F0" w:rsidR="00342803" w:rsidRPr="00DF1E31" w:rsidRDefault="00342803" w:rsidP="002C4790">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774A7C" wp14:editId="0F069A1C">
            <wp:extent cx="5731510" cy="3223895"/>
            <wp:effectExtent l="0" t="0" r="2540" b="0"/>
            <wp:docPr id="1692092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92126" name="Picture 16920921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3875065" w14:textId="22942249" w:rsidR="00A2124E" w:rsidRPr="00A2124E" w:rsidRDefault="00A2124E" w:rsidP="00A2124E">
      <w:pPr>
        <w:jc w:val="center"/>
        <w:rPr>
          <w:rFonts w:ascii="Times New Roman" w:hAnsi="Times New Roman" w:cs="Times New Roman"/>
          <w:sz w:val="20"/>
          <w:szCs w:val="20"/>
        </w:rPr>
      </w:pPr>
      <w:r w:rsidRPr="00A2124E">
        <w:rPr>
          <w:rFonts w:ascii="Times New Roman" w:hAnsi="Times New Roman" w:cs="Times New Roman"/>
          <w:i/>
          <w:iCs/>
          <w:sz w:val="20"/>
          <w:szCs w:val="20"/>
        </w:rPr>
        <w:t>Figure 3: Surface representation showing residue 6 exposed on the protein surface</w:t>
      </w:r>
    </w:p>
    <w:p w14:paraId="629D2321" w14:textId="6A387903" w:rsidR="002C4790" w:rsidRDefault="002C4790" w:rsidP="002C4790">
      <w:pPr>
        <w:rPr>
          <w:rFonts w:ascii="Times New Roman" w:hAnsi="Times New Roman" w:cs="Times New Roman"/>
          <w:sz w:val="24"/>
          <w:szCs w:val="24"/>
        </w:rPr>
      </w:pPr>
      <w:r w:rsidRPr="00DF1E31">
        <w:rPr>
          <w:rFonts w:ascii="Times New Roman" w:hAnsi="Times New Roman" w:cs="Times New Roman"/>
          <w:sz w:val="24"/>
          <w:szCs w:val="24"/>
        </w:rPr>
        <w:t>The experimentally solved structure (PDB ID: 1A3N) showed the complete haemoglobin tetramer, which consists of four subunits arranged together. Four heme groups, shown in red, were also visible, with one heme group present within each subunit (Figure 4).</w:t>
      </w:r>
    </w:p>
    <w:p w14:paraId="08155DFA" w14:textId="6E5E8EE7" w:rsidR="00403936" w:rsidRPr="00DF1E31" w:rsidRDefault="00403936" w:rsidP="002C479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C9D1F4A" wp14:editId="04D02DFA">
            <wp:extent cx="5731510" cy="3223895"/>
            <wp:effectExtent l="0" t="0" r="2540" b="0"/>
            <wp:docPr id="771608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08478" name="Picture 7716084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97EE73E" w14:textId="2C48ED9B" w:rsidR="00403936" w:rsidRPr="00403936" w:rsidRDefault="00403936" w:rsidP="00403936">
      <w:pPr>
        <w:jc w:val="center"/>
        <w:rPr>
          <w:rFonts w:ascii="Times New Roman" w:hAnsi="Times New Roman" w:cs="Times New Roman"/>
          <w:i/>
          <w:iCs/>
          <w:sz w:val="20"/>
          <w:szCs w:val="20"/>
        </w:rPr>
      </w:pPr>
      <w:r w:rsidRPr="00403936">
        <w:rPr>
          <w:rFonts w:ascii="Times New Roman" w:hAnsi="Times New Roman" w:cs="Times New Roman"/>
          <w:i/>
          <w:iCs/>
          <w:sz w:val="20"/>
          <w:szCs w:val="20"/>
        </w:rPr>
        <w:t>Figure 4: Experimentally solved h</w:t>
      </w:r>
      <w:r>
        <w:rPr>
          <w:rFonts w:ascii="Times New Roman" w:hAnsi="Times New Roman" w:cs="Times New Roman"/>
          <w:i/>
          <w:iCs/>
          <w:sz w:val="20"/>
          <w:szCs w:val="20"/>
        </w:rPr>
        <w:t>a</w:t>
      </w:r>
      <w:r w:rsidRPr="00403936">
        <w:rPr>
          <w:rFonts w:ascii="Times New Roman" w:hAnsi="Times New Roman" w:cs="Times New Roman"/>
          <w:i/>
          <w:iCs/>
          <w:sz w:val="20"/>
          <w:szCs w:val="20"/>
        </w:rPr>
        <w:t>emoglobin structure (PDB 1A3N) showing heme groups</w:t>
      </w:r>
    </w:p>
    <w:p w14:paraId="326F042C" w14:textId="20D22916" w:rsidR="00A51234" w:rsidRDefault="00A51234" w:rsidP="002C4790">
      <w:pPr>
        <w:rPr>
          <w:rFonts w:ascii="Times New Roman" w:hAnsi="Times New Roman" w:cs="Times New Roman"/>
          <w:b/>
          <w:bCs/>
          <w:sz w:val="28"/>
          <w:szCs w:val="28"/>
        </w:rPr>
      </w:pPr>
      <w:r w:rsidRPr="00A51234">
        <w:rPr>
          <w:rFonts w:ascii="Times New Roman" w:hAnsi="Times New Roman" w:cs="Times New Roman"/>
          <w:b/>
          <w:bCs/>
          <w:sz w:val="28"/>
          <w:szCs w:val="28"/>
        </w:rPr>
        <w:t>Discussion</w:t>
      </w:r>
    </w:p>
    <w:p w14:paraId="4E9BE641" w14:textId="42C96A05" w:rsidR="00A51234" w:rsidRPr="00DF1E31" w:rsidRDefault="00A51234" w:rsidP="00A51234">
      <w:pPr>
        <w:rPr>
          <w:rFonts w:ascii="Times New Roman" w:hAnsi="Times New Roman" w:cs="Times New Roman"/>
          <w:sz w:val="24"/>
          <w:szCs w:val="24"/>
        </w:rPr>
      </w:pPr>
      <w:r w:rsidRPr="00DF1E31">
        <w:rPr>
          <w:rFonts w:ascii="Times New Roman" w:hAnsi="Times New Roman" w:cs="Times New Roman"/>
          <w:sz w:val="24"/>
          <w:szCs w:val="24"/>
        </w:rPr>
        <w:t xml:space="preserve">The location of residue 6 on the surface of the protein is important for understanding how the Glu6Val mutation causes sickle cell anaemia. Normally, this position contains Glutamic acid, which is a negatively charged and water-attracting amino acid. Since it is present on the </w:t>
      </w:r>
      <w:r w:rsidRPr="00DF1E31">
        <w:rPr>
          <w:rFonts w:ascii="Times New Roman" w:hAnsi="Times New Roman" w:cs="Times New Roman"/>
          <w:sz w:val="24"/>
          <w:szCs w:val="24"/>
        </w:rPr>
        <w:lastRenderedPageBreak/>
        <w:t>surface, it can interact well with the surrounding water. In sickle cell anaemia, Glutamic acid is replaced by Valine, which is a hydrophobic and water-repelling amino acid. Because Valine is exposed on the surface, it creates a sticky region that can interact with other hydrophobic regions of nearby haemoglobin molecules. As a result, the mutate</w:t>
      </w:r>
      <w:r w:rsidR="00417C8D" w:rsidRPr="00DF1E31">
        <w:rPr>
          <w:rFonts w:ascii="Times New Roman" w:hAnsi="Times New Roman" w:cs="Times New Roman"/>
          <w:sz w:val="24"/>
          <w:szCs w:val="24"/>
        </w:rPr>
        <w:t xml:space="preserve">d </w:t>
      </w:r>
      <w:r w:rsidRPr="00DF1E31">
        <w:rPr>
          <w:rFonts w:ascii="Times New Roman" w:hAnsi="Times New Roman" w:cs="Times New Roman"/>
          <w:sz w:val="24"/>
          <w:szCs w:val="24"/>
        </w:rPr>
        <w:t>h</w:t>
      </w:r>
      <w:r w:rsidR="00417C8D" w:rsidRPr="00DF1E31">
        <w:rPr>
          <w:rFonts w:ascii="Times New Roman" w:hAnsi="Times New Roman" w:cs="Times New Roman"/>
          <w:sz w:val="24"/>
          <w:szCs w:val="24"/>
        </w:rPr>
        <w:t>a</w:t>
      </w:r>
      <w:r w:rsidRPr="00DF1E31">
        <w:rPr>
          <w:rFonts w:ascii="Times New Roman" w:hAnsi="Times New Roman" w:cs="Times New Roman"/>
          <w:sz w:val="24"/>
          <w:szCs w:val="24"/>
        </w:rPr>
        <w:t>emoglobin molecules stick together and form long fibres inside red blood cells. These fibres change the normal shape of the cells and give them their characteristic sickle shape.</w:t>
      </w:r>
    </w:p>
    <w:p w14:paraId="4DDD2C58" w14:textId="77777777" w:rsidR="00A51234" w:rsidRPr="00DF1E31" w:rsidRDefault="00A51234" w:rsidP="00A51234">
      <w:pPr>
        <w:rPr>
          <w:rFonts w:ascii="Times New Roman" w:hAnsi="Times New Roman" w:cs="Times New Roman"/>
          <w:sz w:val="24"/>
          <w:szCs w:val="24"/>
        </w:rPr>
      </w:pPr>
      <w:r w:rsidRPr="00DF1E31">
        <w:rPr>
          <w:rFonts w:ascii="Times New Roman" w:hAnsi="Times New Roman" w:cs="Times New Roman"/>
          <w:sz w:val="24"/>
          <w:szCs w:val="24"/>
        </w:rPr>
        <w:t>This structural observation also supports the conservation pattern seen in Task 2, where position 6 was found to be the same across all the primate sequences. Since this position is exposed on the protein surface, changes at this site can affect how the protein interacts with other molecules. This helps explain why position 6 has remained highly conserved.</w:t>
      </w:r>
    </w:p>
    <w:p w14:paraId="38FB18EA" w14:textId="34D2C0EE" w:rsidR="00A51234" w:rsidRPr="00DF1E31" w:rsidRDefault="00A51234" w:rsidP="00A51234">
      <w:pPr>
        <w:rPr>
          <w:rFonts w:ascii="Times New Roman" w:hAnsi="Times New Roman" w:cs="Times New Roman"/>
          <w:sz w:val="24"/>
          <w:szCs w:val="24"/>
        </w:rPr>
      </w:pPr>
      <w:r w:rsidRPr="00DF1E31">
        <w:rPr>
          <w:rFonts w:ascii="Times New Roman" w:hAnsi="Times New Roman" w:cs="Times New Roman"/>
          <w:sz w:val="24"/>
          <w:szCs w:val="24"/>
        </w:rPr>
        <w:t>The real h</w:t>
      </w:r>
      <w:r w:rsidR="00417C8D" w:rsidRPr="00DF1E31">
        <w:rPr>
          <w:rFonts w:ascii="Times New Roman" w:hAnsi="Times New Roman" w:cs="Times New Roman"/>
          <w:sz w:val="24"/>
          <w:szCs w:val="24"/>
        </w:rPr>
        <w:t>a</w:t>
      </w:r>
      <w:r w:rsidRPr="00DF1E31">
        <w:rPr>
          <w:rFonts w:ascii="Times New Roman" w:hAnsi="Times New Roman" w:cs="Times New Roman"/>
          <w:sz w:val="24"/>
          <w:szCs w:val="24"/>
        </w:rPr>
        <w:t xml:space="preserve">emoglobin structure (PDB ID: 1A3N) also supports the concept discussed in the Introduction. </w:t>
      </w:r>
      <w:r w:rsidR="00417C8D" w:rsidRPr="00DF1E31">
        <w:rPr>
          <w:rFonts w:ascii="Times New Roman" w:hAnsi="Times New Roman" w:cs="Times New Roman"/>
          <w:sz w:val="24"/>
          <w:szCs w:val="24"/>
        </w:rPr>
        <w:t>Ha</w:t>
      </w:r>
      <w:r w:rsidRPr="00DF1E31">
        <w:rPr>
          <w:rFonts w:ascii="Times New Roman" w:hAnsi="Times New Roman" w:cs="Times New Roman"/>
          <w:sz w:val="24"/>
          <w:szCs w:val="24"/>
        </w:rPr>
        <w:t>emoglobin functions as a four-subunit protein, with each subunit containing its own heme group for oxygen binding. This shows that HBB does not work independently but forms part of a larger structure. Therefore, a mutation in even one subunit can affect the overall function of h</w:t>
      </w:r>
      <w:r w:rsidR="00417C8D" w:rsidRPr="00DF1E31">
        <w:rPr>
          <w:rFonts w:ascii="Times New Roman" w:hAnsi="Times New Roman" w:cs="Times New Roman"/>
          <w:sz w:val="24"/>
          <w:szCs w:val="24"/>
        </w:rPr>
        <w:t>a</w:t>
      </w:r>
      <w:r w:rsidRPr="00DF1E31">
        <w:rPr>
          <w:rFonts w:ascii="Times New Roman" w:hAnsi="Times New Roman" w:cs="Times New Roman"/>
          <w:sz w:val="24"/>
          <w:szCs w:val="24"/>
        </w:rPr>
        <w:t>emoglobin.</w:t>
      </w:r>
    </w:p>
    <w:p w14:paraId="13F7A6E5" w14:textId="144033BE" w:rsidR="00A51234" w:rsidRPr="00DF1E31" w:rsidRDefault="00A51234" w:rsidP="00A51234">
      <w:pPr>
        <w:rPr>
          <w:rFonts w:ascii="Times New Roman" w:hAnsi="Times New Roman" w:cs="Times New Roman"/>
          <w:sz w:val="24"/>
          <w:szCs w:val="24"/>
        </w:rPr>
      </w:pPr>
      <w:r w:rsidRPr="00DF1E31">
        <w:rPr>
          <w:rFonts w:ascii="Times New Roman" w:hAnsi="Times New Roman" w:cs="Times New Roman"/>
          <w:sz w:val="24"/>
          <w:szCs w:val="24"/>
        </w:rPr>
        <w:t>Overall, the sequence analysis (Task 1), multiple sequence alignment (Task 2), and structural visualization (Task 3) together show how a single amino acid change, Glu6Val, can affect h</w:t>
      </w:r>
      <w:r w:rsidR="00417C8D" w:rsidRPr="00DF1E31">
        <w:rPr>
          <w:rFonts w:ascii="Times New Roman" w:hAnsi="Times New Roman" w:cs="Times New Roman"/>
          <w:sz w:val="24"/>
          <w:szCs w:val="24"/>
        </w:rPr>
        <w:t>a</w:t>
      </w:r>
      <w:r w:rsidRPr="00DF1E31">
        <w:rPr>
          <w:rFonts w:ascii="Times New Roman" w:hAnsi="Times New Roman" w:cs="Times New Roman"/>
          <w:sz w:val="24"/>
          <w:szCs w:val="24"/>
        </w:rPr>
        <w:t>emoglobin and lead to sickle cell anaemia.</w:t>
      </w:r>
    </w:p>
    <w:p w14:paraId="16E3FF92" w14:textId="04FCE3D4" w:rsidR="00926A28" w:rsidRDefault="00926A28" w:rsidP="00A51234">
      <w:pPr>
        <w:rPr>
          <w:rFonts w:ascii="Times New Roman" w:hAnsi="Times New Roman" w:cs="Times New Roman"/>
          <w:b/>
          <w:bCs/>
          <w:sz w:val="28"/>
          <w:szCs w:val="28"/>
        </w:rPr>
      </w:pPr>
      <w:r w:rsidRPr="00926A28">
        <w:rPr>
          <w:rFonts w:ascii="Times New Roman" w:hAnsi="Times New Roman" w:cs="Times New Roman"/>
          <w:b/>
          <w:bCs/>
          <w:sz w:val="28"/>
          <w:szCs w:val="28"/>
        </w:rPr>
        <w:t>Conclusion</w:t>
      </w:r>
    </w:p>
    <w:p w14:paraId="689DAB51" w14:textId="5383BD9C" w:rsidR="00926A28" w:rsidRPr="00DF1E31" w:rsidRDefault="00926A28" w:rsidP="00926A28">
      <w:pPr>
        <w:rPr>
          <w:rFonts w:ascii="Times New Roman" w:hAnsi="Times New Roman" w:cs="Times New Roman"/>
          <w:sz w:val="24"/>
          <w:szCs w:val="24"/>
        </w:rPr>
      </w:pPr>
      <w:r w:rsidRPr="00DF1E31">
        <w:rPr>
          <w:rFonts w:ascii="Times New Roman" w:hAnsi="Times New Roman" w:cs="Times New Roman"/>
          <w:sz w:val="24"/>
          <w:szCs w:val="24"/>
        </w:rPr>
        <w:t>In this task, the three-dimensional structure of HBB was predicted using AlphaFold and visualized in PyMOL to understand how the Glu6Val mutation causes sickle cell anaemia. The results showed that residue 6 is present on the exposed surface of the protein. This helps explain why replacing Glutamic acid with the hydrophobic amino acid Valine creates a sticky region, causing h</w:t>
      </w:r>
      <w:r w:rsidR="00DF1E31">
        <w:rPr>
          <w:rFonts w:ascii="Times New Roman" w:hAnsi="Times New Roman" w:cs="Times New Roman"/>
          <w:sz w:val="24"/>
          <w:szCs w:val="24"/>
        </w:rPr>
        <w:t>a</w:t>
      </w:r>
      <w:r w:rsidRPr="00DF1E31">
        <w:rPr>
          <w:rFonts w:ascii="Times New Roman" w:hAnsi="Times New Roman" w:cs="Times New Roman"/>
          <w:sz w:val="24"/>
          <w:szCs w:val="24"/>
        </w:rPr>
        <w:t>emoglobin molecules to stick together and change the shape of red blood cells. The real h</w:t>
      </w:r>
      <w:r w:rsidR="00DF1E31">
        <w:rPr>
          <w:rFonts w:ascii="Times New Roman" w:hAnsi="Times New Roman" w:cs="Times New Roman"/>
          <w:sz w:val="24"/>
          <w:szCs w:val="24"/>
        </w:rPr>
        <w:t>a</w:t>
      </w:r>
      <w:r w:rsidRPr="00DF1E31">
        <w:rPr>
          <w:rFonts w:ascii="Times New Roman" w:hAnsi="Times New Roman" w:cs="Times New Roman"/>
          <w:sz w:val="24"/>
          <w:szCs w:val="24"/>
        </w:rPr>
        <w:t>emoglobin structure (PDB ID: 1A3N) further showed that h</w:t>
      </w:r>
      <w:r w:rsidR="00DF1E31">
        <w:rPr>
          <w:rFonts w:ascii="Times New Roman" w:hAnsi="Times New Roman" w:cs="Times New Roman"/>
          <w:sz w:val="24"/>
          <w:szCs w:val="24"/>
        </w:rPr>
        <w:t>a</w:t>
      </w:r>
      <w:r w:rsidRPr="00DF1E31">
        <w:rPr>
          <w:rFonts w:ascii="Times New Roman" w:hAnsi="Times New Roman" w:cs="Times New Roman"/>
          <w:sz w:val="24"/>
          <w:szCs w:val="24"/>
        </w:rPr>
        <w:t>emoglobin is made up of four subunits, with each subunit containing a heme group responsible for binding oxygen. Overall, this task connects the sequence analysis from Task 1 and the conservation results from Task 2 with the structural changes observed in Task 3, giving a complete understanding of how a single amino acid mutation in HBB can lead to sickle cell anaemia.</w:t>
      </w:r>
    </w:p>
    <w:p w14:paraId="0FFF76DA" w14:textId="77777777" w:rsidR="00926A28" w:rsidRPr="00A51234" w:rsidRDefault="00926A28" w:rsidP="00A51234">
      <w:pPr>
        <w:rPr>
          <w:rFonts w:ascii="Calibri" w:hAnsi="Calibri" w:cs="Calibri"/>
          <w:sz w:val="24"/>
          <w:szCs w:val="24"/>
        </w:rPr>
      </w:pPr>
    </w:p>
    <w:p w14:paraId="72B4627B" w14:textId="77777777" w:rsidR="00A51234" w:rsidRPr="002C4790" w:rsidRDefault="00A51234" w:rsidP="002C4790">
      <w:pPr>
        <w:rPr>
          <w:rFonts w:ascii="Calibri" w:hAnsi="Calibri" w:cs="Calibri"/>
          <w:sz w:val="24"/>
          <w:szCs w:val="24"/>
        </w:rPr>
      </w:pPr>
    </w:p>
    <w:p w14:paraId="2EBFC306" w14:textId="77777777" w:rsidR="002C4790" w:rsidRDefault="002C4790" w:rsidP="003C41F5">
      <w:pPr>
        <w:rPr>
          <w:rFonts w:ascii="Calibri" w:hAnsi="Calibri" w:cs="Calibri"/>
          <w:sz w:val="24"/>
          <w:szCs w:val="24"/>
        </w:rPr>
      </w:pPr>
    </w:p>
    <w:p w14:paraId="51C8694F" w14:textId="77777777" w:rsidR="006A76E2" w:rsidRPr="008B02B1" w:rsidRDefault="006A76E2" w:rsidP="003C41F5">
      <w:pPr>
        <w:rPr>
          <w:rFonts w:ascii="Calibri" w:hAnsi="Calibri" w:cs="Calibri"/>
          <w:sz w:val="24"/>
          <w:szCs w:val="24"/>
        </w:rPr>
      </w:pPr>
    </w:p>
    <w:sectPr w:rsidR="006A76E2" w:rsidRPr="008B02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416"/>
    <w:rsid w:val="00173142"/>
    <w:rsid w:val="002C4790"/>
    <w:rsid w:val="002C5581"/>
    <w:rsid w:val="00342803"/>
    <w:rsid w:val="003C41F5"/>
    <w:rsid w:val="003C5608"/>
    <w:rsid w:val="00403936"/>
    <w:rsid w:val="00417C8D"/>
    <w:rsid w:val="004914B5"/>
    <w:rsid w:val="005F0268"/>
    <w:rsid w:val="0065742F"/>
    <w:rsid w:val="006A76E2"/>
    <w:rsid w:val="006B5ADB"/>
    <w:rsid w:val="0071546A"/>
    <w:rsid w:val="0077201B"/>
    <w:rsid w:val="0078231B"/>
    <w:rsid w:val="007A6416"/>
    <w:rsid w:val="008B02B1"/>
    <w:rsid w:val="00926A28"/>
    <w:rsid w:val="009E763F"/>
    <w:rsid w:val="00A2124E"/>
    <w:rsid w:val="00A51234"/>
    <w:rsid w:val="00AE04BB"/>
    <w:rsid w:val="00BA497D"/>
    <w:rsid w:val="00C30391"/>
    <w:rsid w:val="00CA1D77"/>
    <w:rsid w:val="00D200AB"/>
    <w:rsid w:val="00D5165D"/>
    <w:rsid w:val="00DF1E31"/>
    <w:rsid w:val="00E55827"/>
    <w:rsid w:val="00EF76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65ED"/>
  <w15:chartTrackingRefBased/>
  <w15:docId w15:val="{EF7E0B10-EB9B-47E6-AD59-CD00A33DA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6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6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6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416"/>
    <w:rPr>
      <w:rFonts w:eastAsiaTheme="majorEastAsia" w:cstheme="majorBidi"/>
      <w:color w:val="272727" w:themeColor="text1" w:themeTint="D8"/>
    </w:rPr>
  </w:style>
  <w:style w:type="paragraph" w:styleId="Title">
    <w:name w:val="Title"/>
    <w:basedOn w:val="Normal"/>
    <w:next w:val="Normal"/>
    <w:link w:val="TitleChar"/>
    <w:uiPriority w:val="10"/>
    <w:qFormat/>
    <w:rsid w:val="007A6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416"/>
    <w:pPr>
      <w:spacing w:before="160"/>
      <w:jc w:val="center"/>
    </w:pPr>
    <w:rPr>
      <w:i/>
      <w:iCs/>
      <w:color w:val="404040" w:themeColor="text1" w:themeTint="BF"/>
    </w:rPr>
  </w:style>
  <w:style w:type="character" w:customStyle="1" w:styleId="QuoteChar">
    <w:name w:val="Quote Char"/>
    <w:basedOn w:val="DefaultParagraphFont"/>
    <w:link w:val="Quote"/>
    <w:uiPriority w:val="29"/>
    <w:rsid w:val="007A6416"/>
    <w:rPr>
      <w:i/>
      <w:iCs/>
      <w:color w:val="404040" w:themeColor="text1" w:themeTint="BF"/>
    </w:rPr>
  </w:style>
  <w:style w:type="paragraph" w:styleId="ListParagraph">
    <w:name w:val="List Paragraph"/>
    <w:basedOn w:val="Normal"/>
    <w:uiPriority w:val="34"/>
    <w:qFormat/>
    <w:rsid w:val="007A6416"/>
    <w:pPr>
      <w:ind w:left="720"/>
      <w:contextualSpacing/>
    </w:pPr>
  </w:style>
  <w:style w:type="character" w:styleId="IntenseEmphasis">
    <w:name w:val="Intense Emphasis"/>
    <w:basedOn w:val="DefaultParagraphFont"/>
    <w:uiPriority w:val="21"/>
    <w:qFormat/>
    <w:rsid w:val="007A6416"/>
    <w:rPr>
      <w:i/>
      <w:iCs/>
      <w:color w:val="0F4761" w:themeColor="accent1" w:themeShade="BF"/>
    </w:rPr>
  </w:style>
  <w:style w:type="paragraph" w:styleId="IntenseQuote">
    <w:name w:val="Intense Quote"/>
    <w:basedOn w:val="Normal"/>
    <w:next w:val="Normal"/>
    <w:link w:val="IntenseQuoteChar"/>
    <w:uiPriority w:val="30"/>
    <w:qFormat/>
    <w:rsid w:val="007A6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416"/>
    <w:rPr>
      <w:i/>
      <w:iCs/>
      <w:color w:val="0F4761" w:themeColor="accent1" w:themeShade="BF"/>
    </w:rPr>
  </w:style>
  <w:style w:type="character" w:styleId="IntenseReference">
    <w:name w:val="Intense Reference"/>
    <w:basedOn w:val="DefaultParagraphFont"/>
    <w:uiPriority w:val="32"/>
    <w:qFormat/>
    <w:rsid w:val="007A6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889</Words>
  <Characters>5069</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riddhimamishra1207200@gmail.com</dc:creator>
  <cp:keywords/>
  <dc:description/>
  <cp:lastModifiedBy>riddhimamishra1207200@gmail.com</cp:lastModifiedBy>
  <cp:revision>28</cp:revision>
  <dcterms:created xsi:type="dcterms:W3CDTF">2026-09-04T08:00:00Z</dcterms:created>
  <dcterms:modified xsi:type="dcterms:W3CDTF">2026-09-11T23:41:00Z</dcterms:modified>
</cp:coreProperties>
</file>