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five of them with screens in BSC PLM (store managers stay in RetailOS),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Bills, customer profiles, order-sheet corrections, returns and credit notes and refund requests stay in RetailOS, which gains anything additional; the prototype shows these for demonstration only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 Store managers will not have a screen in BSC PLM. They already work in RetailOS, and anything additional they need is added to RetailOS itself. The flows below are written down so RetailOS and BSC PLM agree on what passes between them; the store screens in the prototype are there only to demonstrate those flows end to end.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configures Enigma; design codes can be added at any stage)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an optional checklist on the record: Sample &amp; PAT file handed to a factory, PP sample approved, Shipment sample approved, Approval posted to every department. Each row is ticked with one click and an optional remark; sending a sample back needs the remark. Remarks land in the record's conversation under their step. They also mark whether the fabric will be washed; the shrinkage is only known once the cloth arrives.</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when the cloth arrives a cut is washed and the receiver enters the shrinkage % on the receiving line. The GRN records the metres received, and the shelf books the usable metres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 entered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 marked washed on the requirement, and is required before metres are booked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 One sticker per design; there is no per-store copy count. The add form stays closed until + Add a design is clicked.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a fabric is washed is set on the requirement when design raises it; its shrinkage % is entered at receiving, once a cut has been washed. Only washed fabric shrinks: stock books the usable metres after washing (received × (1 − shrinkage)); the GRN keeps the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