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a correction on Changed sheets as the next version; after production starts only a logistics remark changes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shows on the order for the shipping team;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and production edit freely until the piece is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not only once the cloth is in. In Designs &amp; stickers, a section of its own on the record,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p>
            <w:pPr>
              <w:spacing w:before="0" w:after="40"/>
            </w:pPr>
            <w:r>
              <w:rPr>
                <w:rFonts w:ascii="Inter Tight" w:hAnsi="Inter Tight" w:cs="Inter Tight" w:eastAsia="Inter Tight"/>
                <w:color w:val="1A1A1A"/>
                <w:sz w:val="17"/>
              </w:rPr>
              <w:t>5. The stickers sit under the designs: one label per design with the fabric code, design name and product code, swatch book and MRP, printed as a 3 × 7 sheet or one page per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