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Approval Note for P-102 Overpressure Concern</w:t>
      </w:r>
    </w:p>
    <w:p>
      <w:pPr>
        <w:pStyle w:val="Heading1"/>
      </w:pPr>
      <w:r>
        <w:t>Document Control</w:t>
      </w:r>
    </w:p>
    <w:p>
      <w:r>
        <w:t>This document is prepared in accordance with APEXPETRO's standard operating procedures and guidelines.</w:t>
      </w:r>
    </w:p>
    <w:p>
      <w:pPr>
        <w:pStyle w:val="Heading1"/>
      </w:pPr>
      <w:r>
        <w:t>Subject</w:t>
      </w:r>
    </w:p>
    <w:p>
      <w:r>
        <w:t>The subject of this note is the technical assessment and recommendation for the P-102 overpressure concern.</w:t>
      </w:r>
    </w:p>
    <w:p>
      <w:pPr>
        <w:pStyle w:val="Heading1"/>
      </w:pPr>
      <w:r>
        <w:t>Background</w:t>
      </w:r>
    </w:p>
    <w:p>
      <w:r>
        <w:t>P-102 is an AF-450C centrifugal process pump installed in 2018 for CDU-4 crude transfer.</w:t>
      </w:r>
    </w:p>
    <w:p>
      <w:pPr>
        <w:pStyle w:val="Heading1"/>
      </w:pPr>
      <w:r>
        <w:t>Evidence</w:t>
      </w:r>
    </w:p>
    <w:p>
      <w:r>
        <w:t>The evidence includes 2026 inspection summary, pump model data, selected readings, and maintenance history extract.</w:t>
      </w:r>
    </w:p>
    <w:p>
      <w:pPr>
        <w:pStyle w:val="Heading1"/>
      </w:pPr>
      <w:r>
        <w:t>Technical Assessment</w:t>
      </w:r>
    </w:p>
    <w:p>
      <w:r>
        <w:t>The assessment boundary section indicates that threshold comparison can trigger an engineering assessment. The AI should state its limitations.</w:t>
      </w:r>
    </w:p>
    <w:p>
      <w:pPr>
        <w:pStyle w:val="Heading1"/>
      </w:pPr>
      <w:r>
        <w:t>Risk</w:t>
      </w:r>
    </w:p>
    <w:p>
      <w:r>
        <w:t>APEXPETRO SYNTHETIC DATASET v3.0 | CONFIDENTIAL | DEMONSTRATION ONLY</w:t>
        <w:br/>
        <w:t>Page 5</w:t>
        <w:br/>
        <w:t>Review output</w:t>
        <w:br/>
        <w:t>This page defines the task-specific controls for review output.</w:t>
        <w:br/>
        <w:t>Review output</w:t>
        <w:br/>
        <w:t>• Evidence reviewed</w:t>
        <w:br/>
        <w:t>• Assessment</w:t>
        <w:br/>
        <w:t>• Uncertainty</w:t>
        <w:br/>
        <w:t>• Recommendation</w:t>
        <w:br/>
        <w:t>• Approval required</w:t>
        <w:br/>
        <w:t>• Follow-up</w:t>
      </w:r>
    </w:p>
    <w:p>
      <w:pPr>
        <w:pStyle w:val="Heading1"/>
      </w:pPr>
      <w:r>
        <w:t>Recommendation</w:t>
      </w:r>
    </w:p>
    <w:p>
      <w:r>
        <w:t>High-risk recommendations enter an approval queue, requiring a human reviewer for the final decision.</w:t>
      </w:r>
    </w:p>
    <w:p>
      <w:pPr>
        <w:pStyle w:val="Heading1"/>
      </w:pPr>
      <w:r>
        <w:t>Approval Requested</w:t>
      </w:r>
    </w:p>
    <w:p>
      <w:r>
        <w:t>Approval is required for the technical assessment and recommendation.</w:t>
      </w:r>
    </w:p>
    <w:p>
      <w:pPr>
        <w:pStyle w:val="Heading1"/>
      </w:pPr>
      <w:r>
        <w:t>References</w:t>
      </w:r>
    </w:p>
    <w:p>
      <w:r>
        <w:t>This document references APEL-SOP-ENG-241, APEL-MAN-302, APEL-SEC-101, APEL-AI-104, APEL-VND-P102-501, APEL-PROC-106, and APEL-AS-P102-002.</w:t>
      </w:r>
    </w:p>
    <w:p>
      <w:pPr>
        <w:pStyle w:val="Heading1"/>
      </w:pPr>
      <w:r>
        <w:t>AI Provenance</w:t>
      </w:r>
    </w:p>
    <w:p>
      <w:r>
        <w:t>The AI output is labeled as generated content and is part of the approval queue.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