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P-102 Inspection Report</w:t>
      </w:r>
    </w:p>
    <w:p>
      <w:pPr>
        <w:pStyle w:val="Heading1"/>
      </w:pPr>
      <w:r>
        <w:t>risk_mitigation</w:t>
      </w:r>
    </w:p>
    <w:p>
      <w:r>
        <w:t>{'content': ['Based on the recommendations from the previous years and the criticality assessment, the following risk mitigation actions are proposed:', '2024 recommendation: Continue routine monitoring and scheduled maintenance. This action is categorized as P3 priority level, which is planned maintenance.', '2025 recommendation: Increase inspection frequency and investigate emerging vibration/corrosion trend. This action is also categorized as P3 priority level.', '2026 recommendation: Open engineering integrity review, verify instrumentation and establish authorized operating disposition. This action is categorized as P2 priority level, high reliability or integrity risk.', 'Additional actions include: Replace seal assembly, verify alignment, perform leak check, update maintenance history, and communicate during handover. These actions are categorized as P3 priority level, planned maintenance.']}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