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Overpressure Assessment Approval Note</w:t>
      </w:r>
    </w:p>
    <w:p>
      <w:pPr>
        <w:pStyle w:val="Heading1"/>
      </w:pPr>
      <w:r>
        <w:t>Document Control</w:t>
      </w:r>
    </w:p>
    <w:p>
      <w:r>
        <w:t>This approval note for the P-102 overpressure assessment is based on the evidence and guidelines provided, and is subject to the policies and procedures outlined in the relevant documentation.</w:t>
      </w:r>
    </w:p>
    <w:p>
      <w:pPr>
        <w:pStyle w:val="Heading1"/>
      </w:pPr>
      <w:r>
        <w:t>Subject</w:t>
      </w:r>
    </w:p>
    <w:p>
      <w:r>
        <w:t>The subject of this assessment is the P-102 overpressure evaluation, which is an AF-450C centrifugal process pump installed in 2018 for CDU-4 crude transfer.</w:t>
      </w:r>
    </w:p>
    <w:p>
      <w:pPr>
        <w:pStyle w:val="Heading1"/>
      </w:pPr>
      <w:r>
        <w:t>Background</w:t>
      </w:r>
    </w:p>
    <w:p>
      <w:r>
        <w:t>The assessment is conducted to ensure the pump operates within its approved maximum operating pressure of 40 bar, with a normal operating pressure of 35 bar, to prevent overpressure conditions that could lead to equipment failure or safety incidents.</w:t>
      </w:r>
    </w:p>
    <w:p>
      <w:pPr>
        <w:pStyle w:val="Heading1"/>
      </w:pPr>
      <w:r>
        <w:t>Evidence</w:t>
      </w:r>
    </w:p>
    <w:p>
      <w:r>
        <w:t>The evidence includes the pump's detailed datasheet, which specifies the manufacturer, model, capacity, and pressure ratings, as well as the assessment guidelines and policies.</w:t>
      </w:r>
    </w:p>
    <w:p>
      <w:pPr>
        <w:pStyle w:val="Heading1"/>
      </w:pPr>
      <w:r>
        <w:t>Technical Assessment</w:t>
      </w:r>
    </w:p>
    <w:p>
      <w:r>
        <w:t>The assessment involves reviewing the output, which includes evidence, assessment, uncertainty, recommendation, and approval requirements, to ensure the pump operates safely within its design parameters.</w:t>
      </w:r>
    </w:p>
    <w:p>
      <w:pPr>
        <w:pStyle w:val="Heading1"/>
      </w:pPr>
      <w:r>
        <w:t>Risk</w:t>
      </w:r>
    </w:p>
    <w:p>
      <w:r>
        <w:t>The risk assessment focuses on the potential for overpressure, which could lead to equipment failure, and the need for appropriate safety measures and controls.</w:t>
      </w:r>
    </w:p>
    <w:p>
      <w:pPr>
        <w:pStyle w:val="Heading1"/>
      </w:pPr>
      <w:r>
        <w:t>Recommendation</w:t>
      </w:r>
    </w:p>
    <w:p>
      <w:r>
        <w:t>The recommendation is to approve the assessment, ensuring the pump operates within its approved maximum operating pressure, and to implement any necessary follow-up actions.</w:t>
      </w:r>
    </w:p>
    <w:p>
      <w:pPr>
        <w:pStyle w:val="Heading1"/>
      </w:pPr>
      <w:r>
        <w:t>Approval Requested</w:t>
      </w:r>
    </w:p>
    <w:p>
      <w:r>
        <w:t>Approval is required to ensure the assessment meets the necessary standards and to proceed with any recommended actions.</w:t>
      </w:r>
    </w:p>
    <w:p>
      <w:pPr>
        <w:pStyle w:val="Heading1"/>
      </w:pPr>
      <w:r>
        <w:t>References</w:t>
      </w:r>
    </w:p>
    <w:p>
      <w:r>
        <w:t>The assessment is based on the guidelines provided in APEL-SOP-ENG-241, APEL-MAN-302, APEL-SEC-101, APEL-AI-104, APEL-SOP-MNT-211, APEL-AS-P102-002, APEL-DRG-P102-010, and APEL-DOC-105.</w:t>
      </w:r>
    </w:p>
    <w:p>
      <w:pPr>
        <w:pStyle w:val="Heading1"/>
      </w:pPr>
      <w:r>
        <w:t>AI Provenance</w:t>
      </w:r>
    </w:p>
    <w:p>
      <w:r>
        <w:t>The AI output is labeled as generated content and is subject to human oversight, with high-risk recommendations entering an approval queue for final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