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eDNA Taxonomy POC — Reference-Matching Results</w:t>
      </w:r>
    </w:p>
    <w:p>
      <w:pPr>
        <w:jc w:val="center"/>
      </w:pPr>
      <w:r>
        <w:rPr>
          <w:i/>
          <w:color w:val="555555"/>
          <w:sz w:val="23"/>
        </w:rPr>
        <w:t>Summary of Runs 1–4 (SILVA full-length, SILVA region-specific, MitoFish baseline, MitoFish + nucleotide rerank)</w:t>
      </w:r>
    </w:p>
    <w:p>
      <w:pPr>
        <w:jc w:val="center"/>
      </w:pPr>
      <w:r>
        <w:rPr>
          <w:color w:val="555555"/>
          <w:sz w:val="20"/>
        </w:rPr>
        <w:t>Report date: 20 August 2026</w:t>
      </w:r>
    </w:p>
    <w:p>
      <w:pPr>
        <w:spacing w:before="280" w:after="120"/>
        <w:pBdr>
          <w:bottom w:val="single" w:sz="6" w:space="2" w:color="1F3A5F"/>
        </w:pBdr>
      </w:pPr>
      <w:r>
        <w:rPr>
          <w:b/>
          <w:color w:val="1F3A5F"/>
          <w:sz w:val="28"/>
        </w:rPr>
        <w:t>1. Objective</w:t>
      </w:r>
    </w:p>
    <w:p>
      <w:pPr>
        <w:spacing w:after="120"/>
      </w:pPr>
      <w:r>
        <w:rPr>
          <w:sz w:val="21"/>
        </w:rPr>
        <w:t>This project builds an eDNA taxonomy pipeline: convert environmental DNA reads into AI-based embeddings (DNABERT), search them against a reference sequence database using FAISS, and decide whether each read can be confidently matched to a known organism or should be left unclassified. The goal is honest, evidence-based species matching — not forcing an identification when the evidence is weak.</w:t>
      </w:r>
    </w:p>
    <w:p>
      <w:pPr>
        <w:spacing w:before="280" w:after="120"/>
        <w:pBdr>
          <w:bottom w:val="single" w:sz="6" w:space="2" w:color="1F3A5F"/>
        </w:pBdr>
      </w:pPr>
      <w:r>
        <w:rPr>
          <w:b/>
          <w:color w:val="1F3A5F"/>
          <w:sz w:val="28"/>
        </w:rPr>
        <w:t>2. Dataset</w:t>
      </w:r>
    </w:p>
    <w:p>
      <w:pPr>
        <w:pStyle w:val="ListBullet"/>
        <w:spacing w:after="60"/>
      </w:pPr>
      <w:r>
        <w:rPr>
          <w:b/>
          <w:sz w:val="20"/>
        </w:rPr>
        <w:t>ERR16922870 (first 5,000 reads used), 118–140bp Illumina reads from a filtered seawater eDNA sample, Indian Ocean Territories (2023).</w:t>
      </w:r>
      <w:r>
        <w:rPr>
          <w:sz w:val="20"/>
        </w:rPr>
        <w:t xml:space="preserve">Experimental reads: </w:t>
      </w:r>
    </w:p>
    <w:p>
      <w:pPr>
        <w:pStyle w:val="ListBullet"/>
        <w:spacing w:after="60"/>
      </w:pPr>
      <w:r>
        <w:rPr>
          <w:b/>
          <w:sz w:val="20"/>
        </w:rPr>
        <w:t>“16SFish/D” — a fish mitochondrial 16S rRNA marker (Berry et al. 2017), used for marine fish eDNA surveys.</w:t>
      </w:r>
      <w:r>
        <w:rPr>
          <w:sz w:val="20"/>
        </w:rPr>
        <w:t xml:space="preserve">Confirmed marker (from ENA metadata, not guessed): </w:t>
      </w:r>
    </w:p>
    <w:p>
      <w:pPr>
        <w:pStyle w:val="ListBullet"/>
        <w:spacing w:after="60"/>
      </w:pPr>
      <w:r>
        <w:rPr>
          <w:sz w:val="20"/>
        </w:rPr>
        <w:t>Four runs were carried out in sequence, each building on what the previous run found.</w:t>
      </w:r>
    </w:p>
    <w:p>
      <w:pPr>
        <w:spacing w:before="280" w:after="120"/>
        <w:pBdr>
          <w:bottom w:val="single" w:sz="6" w:space="2" w:color="1F3A5F"/>
        </w:pBdr>
      </w:pPr>
      <w:r>
        <w:rPr>
          <w:b/>
          <w:color w:val="1F3A5F"/>
          <w:sz w:val="28"/>
        </w:rPr>
        <w:t>3. Run 1 — SILVA (Full-Length Reference Sequences)</w:t>
      </w:r>
    </w:p>
    <w:p>
      <w:pPr>
        <w:spacing w:after="120"/>
      </w:pPr>
      <w:r>
        <w:rPr>
          <w:sz w:val="21"/>
        </w:rPr>
        <w:t>SILVA is a database of ~2.2 million bacterial/archaeal 16S and eukaryotic 18S rRNA gene sequences, each 900–3,718bp long — far longer than our ~120bp reads. We embedded a 5,000-sequence SILVA sample and the 5,000 real reads with DNABERT, then searched with FAISS. A calibration test (cutting random short fragments from held-out full-length references) showed accuracy stuck at ~9%, i.e. chance level, no matter what similarity cutoff was used — matching a short fragment against a full-length gene doesn't reliably work, because we don't know which small part of the gene our read actually came from.</w:t>
      </w:r>
    </w:p>
    <w:p>
      <w:pPr>
        <w:spacing w:after="120"/>
      </w:pPr>
      <w:r>
        <w:rPr>
          <w:sz w:val="21"/>
        </w:rPr>
        <w:t>Result: 0 of 5,000 reads were confidently assigned (all correctly routed to “unclassified” rather than forcing a guess). Conclusion: full-length references are the wrong shape for short reads.</w:t>
      </w:r>
    </w:p>
    <w:p>
      <w:pPr>
        <w:spacing w:before="280" w:after="120"/>
        <w:pBdr>
          <w:bottom w:val="single" w:sz="6" w:space="2" w:color="1F3A5F"/>
        </w:pBdr>
      </w:pPr>
      <w:r>
        <w:rPr>
          <w:b/>
          <w:color w:val="1F3A5F"/>
          <w:sz w:val="28"/>
        </w:rPr>
        <w:t>4. Run 2 — SILVA (Region-Specific Extraction)</w:t>
      </w:r>
    </w:p>
    <w:p>
      <w:pPr>
        <w:spacing w:after="120"/>
      </w:pPr>
      <w:r>
        <w:rPr>
          <w:sz w:val="21"/>
        </w:rPr>
        <w:t>Investigating further, we discovered from official ENA metadata that this dataset's real marker is a fish mitochondrial gene — not the bacterial 16S or eukaryotic 18S genes that SILVA actually contains. Before concluding that, we still tested whether cutting out the correct, standard sub-region of SILVA (16S V4 and 18S V9, extracted using real PCR primer sequences, not arbitrary truncation) would help.</w:t>
      </w:r>
    </w:p>
    <w:p>
      <w:pPr>
        <w:spacing w:after="120"/>
      </w:pPr>
      <w:r>
        <w:rPr>
          <w:sz w:val="21"/>
        </w:rPr>
        <w:t>Result: calibration accuracy improved substantially (16S V4: 59–66%; 18S V9: 82–84%) versus Run 1's flat 9% — a real improvement in method. But querying the real reads showed severe “hubness”: a tiny number of reference sequences absorbed most matches (top 10 references = 68–78% of all hits), a known AI similarity-search glitch, not real biology. Conclusion: region-matching helps, but SILVA is still fundamentally the wrong database — it doesn't contain this dataset's actual gene at all.</w:t>
      </w:r>
    </w:p>
    <w:p>
      <w:pPr>
        <w:spacing w:before="280" w:after="120"/>
        <w:pBdr>
          <w:bottom w:val="single" w:sz="6" w:space="2" w:color="1F3A5F"/>
        </w:pBdr>
      </w:pPr>
      <w:r>
        <w:rPr>
          <w:b/>
          <w:color w:val="1F3A5F"/>
          <w:sz w:val="28"/>
        </w:rPr>
        <w:t>5. Run 3 — MitoFish (Correct Database, Baseline Method)</w:t>
      </w:r>
    </w:p>
    <w:p>
      <w:pPr>
        <w:spacing w:after="120"/>
      </w:pPr>
      <w:r>
        <w:rPr>
          <w:sz w:val="21"/>
        </w:rPr>
        <w:t>Based on Run 2's finding, we switched to MitoFish, a fish mitochondrial sequence database — the biologically correct database family for the “16SFish/D” marker. We verified the exact PCR primers (16SF/D + 16S2R, Berry et al. 2017) from a peer-reviewed source, confirmed the file structure, and extracted 16,592 usable 16S reference sequences via the same primer-based method (not truncation).</w:t>
      </w:r>
    </w:p>
    <w:p>
      <w:pPr>
        <w:spacing w:after="120"/>
      </w:pPr>
      <w:r>
        <w:rPr>
          <w:sz w:val="21"/>
        </w:rPr>
        <w:t>Result: calibration showed real signal (9%→35% accuracy as the cutoff tightened). At a similarity threshold of 0.80, 211 of 5,000 reads (4.2%) were assigned. But the same hubness problem reappeared, and worse: just 2 reference sequences accounted for 89% of all assigned reads — clearly not 188 different real fish. Conclusion: correct database, but the matching method (DNABERT similarity alone) still wasn't reliable enough to trust.</w:t>
      </w:r>
    </w:p>
    <w:p>
      <w:pPr>
        <w:spacing w:before="280" w:after="120"/>
        <w:pBdr>
          <w:bottom w:val="single" w:sz="6" w:space="2" w:color="1F3A5F"/>
        </w:pBdr>
      </w:pPr>
      <w:r>
        <w:rPr>
          <w:b/>
          <w:color w:val="1F3A5F"/>
          <w:sz w:val="28"/>
        </w:rPr>
        <w:t>6. Run 4 — MitoFish + Independent Nucleotide Verification (Final Approach)</w:t>
      </w:r>
    </w:p>
    <w:p>
      <w:pPr>
        <w:spacing w:before="200" w:after="80"/>
      </w:pPr>
      <w:r>
        <w:rPr>
          <w:b/>
          <w:color w:val="1F3A5F"/>
          <w:sz w:val="24"/>
        </w:rPr>
        <w:t>6.1 Objective</w:t>
      </w:r>
    </w:p>
    <w:p>
      <w:pPr>
        <w:spacing w:after="120"/>
      </w:pPr>
      <w:r>
        <w:rPr>
          <w:sz w:val="21"/>
        </w:rPr>
        <w:t>Fix the hubness problem identified in Run 3, without changing the database, primers, or extracted region (those were already verified). The database and reference table from Run 3 were reused unchanged.</w:t>
      </w:r>
    </w:p>
    <w:p>
      <w:pPr>
        <w:spacing w:before="200" w:after="80"/>
      </w:pPr>
      <w:r>
        <w:rPr>
          <w:b/>
          <w:color w:val="1F3A5F"/>
          <w:sz w:val="24"/>
        </w:rPr>
        <w:t>6.2 Approach</w:t>
      </w:r>
    </w:p>
    <w:p>
      <w:pPr>
        <w:pStyle w:val="ListBullet"/>
        <w:spacing w:after="60"/>
      </w:pPr>
      <w:r>
        <w:rPr>
          <w:sz w:val="20"/>
        </w:rPr>
        <w:t xml:space="preserve">Instead of trusting only DNABERT's single best guess, we retrieved its </w:t>
      </w:r>
      <w:r>
        <w:rPr>
          <w:b/>
          <w:sz w:val="20"/>
        </w:rPr>
        <w:t>top-10 candidate matches</w:t>
      </w:r>
      <w:r>
        <w:rPr>
          <w:sz w:val="20"/>
        </w:rPr>
        <w:t xml:space="preserve"> per read.</w:t>
      </w:r>
    </w:p>
    <w:p>
      <w:pPr>
        <w:pStyle w:val="ListBullet"/>
        <w:spacing w:after="60"/>
      </w:pPr>
      <w:r>
        <w:rPr>
          <w:sz w:val="20"/>
        </w:rPr>
        <w:t xml:space="preserve">Each of the 10 candidates was independently checked with a </w:t>
      </w:r>
      <w:r>
        <w:rPr>
          <w:b/>
          <w:sz w:val="20"/>
        </w:rPr>
        <w:t>real local DNA sequence alignment</w:t>
      </w:r>
      <w:r>
        <w:rPr>
          <w:sz w:val="20"/>
        </w:rPr>
        <w:t xml:space="preserve"> (Smith-Waterman, the same family of algorithm behind tools like BLAST) — measuring what percent of letters actually matched (“percent identity”) and how much of the read was covered by the alignment.</w:t>
      </w:r>
    </w:p>
    <w:p>
      <w:pPr>
        <w:pStyle w:val="ListBullet"/>
        <w:spacing w:after="60"/>
      </w:pPr>
      <w:r>
        <w:rPr>
          <w:sz w:val="20"/>
        </w:rPr>
        <w:t>Candidates were re-ranked by this real alignment score instead of the AI similarity score, and the best-aligning candidate became the final answer.</w:t>
      </w:r>
    </w:p>
    <w:p>
      <w:pPr>
        <w:pStyle w:val="ListBullet"/>
        <w:spacing w:after="60"/>
      </w:pPr>
      <w:r>
        <w:rPr>
          <w:sz w:val="20"/>
        </w:rPr>
        <w:t>A confidence threshold was calibrated using held-out MitoFish data (not the real reads) — never picked just to increase the assignment count.</w:t>
      </w:r>
    </w:p>
    <w:p>
      <w:pPr>
        <w:spacing w:before="200" w:after="80"/>
      </w:pPr>
      <w:r>
        <w:rPr>
          <w:b/>
          <w:color w:val="1F3A5F"/>
          <w:sz w:val="24"/>
        </w:rPr>
        <w:t>6.3 What we discovered along the way</w:t>
      </w:r>
    </w:p>
    <w:p>
      <w:pPr>
        <w:pStyle w:val="ListBullet"/>
        <w:spacing w:after="60"/>
      </w:pPr>
      <w:r>
        <w:rPr>
          <w:sz w:val="20"/>
        </w:rPr>
        <w:t xml:space="preserve">DNABERT's own top-1 guess was only the same as the best real DNA match </w:t>
      </w:r>
      <w:r>
        <w:rPr>
          <w:b/>
          <w:sz w:val="20"/>
        </w:rPr>
        <w:t>21% of the time</w:t>
      </w:r>
      <w:r>
        <w:rPr>
          <w:sz w:val="20"/>
        </w:rPr>
        <w:t xml:space="preserve"> — confirming DNABERT similarity alone is not precise enough to trust by itself.</w:t>
      </w:r>
    </w:p>
    <w:p>
      <w:pPr>
        <w:pStyle w:val="ListBullet"/>
        <w:spacing w:after="60"/>
      </w:pPr>
      <w:r>
        <w:rPr>
          <w:sz w:val="20"/>
        </w:rPr>
        <w:t xml:space="preserve">An early calibration attempt looked disappointing (accuracy capped around 33%) until we checked </w:t>
      </w:r>
      <w:r>
        <w:rPr>
          <w:b/>
          <w:sz w:val="20"/>
        </w:rPr>
        <w:t>why</w:t>
      </w:r>
      <w:r>
        <w:rPr>
          <w:sz w:val="20"/>
        </w:rPr>
        <w:t xml:space="preserve"> answers were being marked “wrong”: the “wrong” matches turned out to be 95–99.5% identical to the true sequence — different accession numbers for essentially the same fish, a known redundancy in MitoFish. Fixing the scoring rule to allow this (≥95% identity = correct) revealed the method's real accuracy.</w:t>
      </w:r>
    </w:p>
    <w:p>
      <w:pPr>
        <w:pStyle w:val="ListBullet"/>
        <w:spacing w:after="60"/>
      </w:pPr>
      <w:r>
        <w:rPr>
          <w:sz w:val="20"/>
        </w:rPr>
        <w:t xml:space="preserve">With the corrected scoring, the calibration curve reached </w:t>
      </w:r>
      <w:r>
        <w:rPr>
          <w:b/>
          <w:sz w:val="20"/>
        </w:rPr>
        <w:t>94.6% accuracy at a 95% identity cutoff</w:t>
      </w:r>
      <w:r>
        <w:rPr>
          <w:sz w:val="20"/>
        </w:rPr>
        <w:t xml:space="preserve"> (with 59.8% of test cases still confidently matched) — a strong, real, evidence-based result, unlike Runs 1–3.</w:t>
      </w:r>
    </w:p>
    <w:p>
      <w:pPr>
        <w:spacing w:before="200" w:after="80"/>
      </w:pPr>
      <w:r>
        <w:rPr>
          <w:b/>
          <w:color w:val="1F3A5F"/>
          <w:sz w:val="24"/>
        </w:rPr>
        <w:t>6.4 Final results on the real 5,000 reads</w:t>
      </w:r>
    </w:p>
    <w:tbl>
      <w:tblPr>
        <w:tblStyle w:val="LightGrid-Accent1"/>
        <w:tblW w:type="auto" w:w="0"/>
        <w:jc w:val="center"/>
        <w:tblLook w:firstColumn="1" w:firstRow="1" w:lastColumn="0" w:lastRow="0" w:noHBand="0" w:noVBand="1" w:val="04A0"/>
      </w:tblPr>
      <w:tblGrid>
        <w:gridCol w:w="3312"/>
        <w:gridCol w:w="3312"/>
        <w:gridCol w:w="3312"/>
      </w:tblGrid>
      <w:tr>
        <w:tc>
          <w:tcPr>
            <w:tcW w:type="dxa" w:w="2880"/>
            <w:shd w:val="clear" w:fill="1F3A5F"/>
          </w:tcPr>
          <w:p>
            <w:r/>
            <w:r>
              <w:rPr>
                <w:b/>
                <w:color w:val="FFFFFF"/>
                <w:sz w:val="19"/>
              </w:rPr>
              <w:t>Metric</w:t>
            </w:r>
          </w:p>
        </w:tc>
        <w:tc>
          <w:tcPr>
            <w:tcW w:type="dxa" w:w="3024"/>
            <w:shd w:val="clear" w:fill="1F3A5F"/>
          </w:tcPr>
          <w:p>
            <w:r/>
            <w:r>
              <w:rPr>
                <w:b/>
                <w:color w:val="FFFFFF"/>
                <w:sz w:val="19"/>
              </w:rPr>
              <w:t>Run 3 (DNABERT only)</w:t>
            </w:r>
          </w:p>
        </w:tc>
        <w:tc>
          <w:tcPr>
            <w:tcW w:type="dxa" w:w="3744"/>
            <w:shd w:val="clear" w:fill="1F3A5F"/>
          </w:tcPr>
          <w:p>
            <w:r/>
            <w:r>
              <w:rPr>
                <w:b/>
                <w:color w:val="FFFFFF"/>
                <w:sz w:val="19"/>
              </w:rPr>
              <w:t>Run 4 (DNABERT + DNA rerank)</w:t>
            </w:r>
          </w:p>
        </w:tc>
      </w:tr>
      <w:tr>
        <w:tc>
          <w:tcPr>
            <w:tcW w:type="dxa" w:w="2880"/>
          </w:tcPr>
          <w:p>
            <w:r/>
            <w:r>
              <w:rPr>
                <w:sz w:val="19"/>
              </w:rPr>
              <w:t>Reads assigned</w:t>
            </w:r>
          </w:p>
        </w:tc>
        <w:tc>
          <w:tcPr>
            <w:tcW w:type="dxa" w:w="3024"/>
          </w:tcPr>
          <w:p>
            <w:r/>
            <w:r>
              <w:rPr>
                <w:sz w:val="19"/>
              </w:rPr>
              <w:t>211 / 5,000 (4.2%)</w:t>
            </w:r>
          </w:p>
        </w:tc>
        <w:tc>
          <w:tcPr>
            <w:tcW w:type="dxa" w:w="3744"/>
          </w:tcPr>
          <w:p>
            <w:r/>
            <w:r>
              <w:rPr>
                <w:sz w:val="19"/>
              </w:rPr>
              <w:t>474 / 5,000 (9.5%)</w:t>
            </w:r>
          </w:p>
        </w:tc>
      </w:tr>
      <w:tr>
        <w:tc>
          <w:tcPr>
            <w:tcW w:type="dxa" w:w="2880"/>
          </w:tcPr>
          <w:p>
            <w:r/>
            <w:r>
              <w:rPr>
                <w:sz w:val="19"/>
              </w:rPr>
              <w:t>Evidence behind each match</w:t>
            </w:r>
          </w:p>
        </w:tc>
        <w:tc>
          <w:tcPr>
            <w:tcW w:type="dxa" w:w="3024"/>
          </w:tcPr>
          <w:p>
            <w:r/>
            <w:r>
              <w:rPr>
                <w:sz w:val="19"/>
              </w:rPr>
              <w:t>AI similarity score only</w:t>
            </w:r>
          </w:p>
        </w:tc>
        <w:tc>
          <w:tcPr>
            <w:tcW w:type="dxa" w:w="3744"/>
          </w:tcPr>
          <w:p>
            <w:r/>
            <w:r>
              <w:rPr>
                <w:sz w:val="19"/>
              </w:rPr>
              <w:t>Real DNA alignment: median 98.4% identity, ~100% read coverage</w:t>
            </w:r>
          </w:p>
        </w:tc>
      </w:tr>
      <w:tr>
        <w:tc>
          <w:tcPr>
            <w:tcW w:type="dxa" w:w="2880"/>
          </w:tcPr>
          <w:p>
            <w:r/>
            <w:r>
              <w:rPr>
                <w:sz w:val="19"/>
              </w:rPr>
              <w:t>Distinct references matched</w:t>
            </w:r>
          </w:p>
        </w:tc>
        <w:tc>
          <w:tcPr>
            <w:tcW w:type="dxa" w:w="3024"/>
          </w:tcPr>
          <w:p>
            <w:r/>
            <w:r>
              <w:rPr>
                <w:sz w:val="19"/>
              </w:rPr>
              <w:t>13 (among assigned)</w:t>
            </w:r>
          </w:p>
        </w:tc>
        <w:tc>
          <w:tcPr>
            <w:tcW w:type="dxa" w:w="3744"/>
          </w:tcPr>
          <w:p>
            <w:r/>
            <w:r>
              <w:rPr>
                <w:sz w:val="19"/>
              </w:rPr>
              <w:t>27 (among assigned)</w:t>
            </w:r>
          </w:p>
        </w:tc>
      </w:tr>
      <w:tr>
        <w:tc>
          <w:tcPr>
            <w:tcW w:type="dxa" w:w="2880"/>
          </w:tcPr>
          <w:p>
            <w:r/>
            <w:r>
              <w:rPr>
                <w:sz w:val="19"/>
              </w:rPr>
              <w:t>Top-2 references' share of matches</w:t>
            </w:r>
          </w:p>
        </w:tc>
        <w:tc>
          <w:tcPr>
            <w:tcW w:type="dxa" w:w="3024"/>
          </w:tcPr>
          <w:p>
            <w:r/>
            <w:r>
              <w:rPr>
                <w:sz w:val="19"/>
              </w:rPr>
              <w:t>89%</w:t>
            </w:r>
          </w:p>
        </w:tc>
        <w:tc>
          <w:tcPr>
            <w:tcW w:type="dxa" w:w="3744"/>
          </w:tcPr>
          <w:p>
            <w:r/>
            <w:r>
              <w:rPr>
                <w:sz w:val="19"/>
              </w:rPr>
              <w:t>57%</w:t>
            </w:r>
          </w:p>
        </w:tc>
      </w:tr>
      <w:tr>
        <w:tc>
          <w:tcPr>
            <w:tcW w:type="dxa" w:w="2880"/>
          </w:tcPr>
          <w:p>
            <w:r/>
            <w:r>
              <w:rPr>
                <w:sz w:val="19"/>
              </w:rPr>
              <w:t>Top-10 references' share of matches</w:t>
            </w:r>
          </w:p>
        </w:tc>
        <w:tc>
          <w:tcPr>
            <w:tcW w:type="dxa" w:w="3024"/>
          </w:tcPr>
          <w:p>
            <w:r/>
            <w:r>
              <w:rPr>
                <w:sz w:val="19"/>
              </w:rPr>
              <w:t>n/a (only 13 exist)</w:t>
            </w:r>
          </w:p>
        </w:tc>
        <w:tc>
          <w:tcPr>
            <w:tcW w:type="dxa" w:w="3744"/>
          </w:tcPr>
          <w:p>
            <w:r/>
            <w:r>
              <w:rPr>
                <w:sz w:val="19"/>
              </w:rPr>
              <w:t>94%</w:t>
            </w:r>
          </w:p>
        </w:tc>
      </w:tr>
    </w:tbl>
    <w:p>
      <w:pPr>
        <w:spacing w:after="80"/>
      </w:pPr>
    </w:p>
    <w:p>
      <w:pPr>
        <w:spacing w:after="120"/>
      </w:pPr>
      <w:r>
        <w:rPr>
          <w:sz w:val="21"/>
        </w:rPr>
        <w:t>The concentration on a few references was still present numerically. To find out whether this was still the same AI glitch or something real, we looked up the actual species names for all 27 distinct matched references directly from NCBI's public GenBank database (something we couldn't do before, since MitoFish itself ships with no species names).</w:t>
      </w:r>
    </w:p>
    <w:p>
      <w:pPr>
        <w:spacing w:after="160"/>
      </w:pPr>
      <w:r>
        <w:rPr>
          <w:b/>
          <w:color w:val="1E7A34"/>
          <w:sz w:val="21"/>
        </w:rPr>
        <w:t xml:space="preserve">Finding: </w:t>
      </w:r>
      <w:r>
        <w:rPr>
          <w:color w:val="1E7A34"/>
          <w:sz w:val="21"/>
        </w:rPr>
        <w:t>93.9% of assigned reads (445 of 474) matched a tuna species (family Scombridae) — including yellowfin, bigeye, skipjack, longtail, albacore and several bluefin tuna species. The Indian Ocean is one of the world's major tuna fishing and migration regions, and this sample was seawater collected there — so a tuna-dominated signal is biologically expected, not a random artifact. The remaining 5.9% were a reef fish and a deep-sea anglerfish; only 0.2% was an unrelated species. Critically, the reference sequences that dominated in this run share nothing in common with the ones that dominated in Run 3 — further evidence the earlier hubness really was an unrelated math glitch, not this same pattern resurfacing.</w:t>
      </w:r>
    </w:p>
    <w:p>
      <w:pPr>
        <w:spacing w:before="200" w:after="80"/>
      </w:pPr>
      <w:r>
        <w:rPr>
          <w:b/>
          <w:color w:val="1F3A5F"/>
          <w:sz w:val="24"/>
        </w:rPr>
        <w:t>6.5 Conclusion</w:t>
      </w:r>
    </w:p>
    <w:p>
      <w:pPr>
        <w:spacing w:after="120"/>
      </w:pPr>
      <w:r>
        <w:rPr>
          <w:sz w:val="21"/>
        </w:rPr>
        <w:t>The independent nucleotide-alignment check substantially improved the reliability of the results: assignments nearly doubled, each one is now backed by real DNA evidence (not just an AI similarity number), and the dominant matches make strong biological sense for the sample location. This is a genuine, evidence-based improvement over Runs 1–3.</w:t>
      </w:r>
    </w:p>
    <w:p>
      <w:pPr>
        <w:spacing w:after="120"/>
      </w:pPr>
      <w:r>
        <w:rPr>
          <w:b/>
          <w:sz w:val="21"/>
        </w:rPr>
        <w:t xml:space="preserve">However, this should still be treated as a preliminary result, not a final validated species list, because: </w:t>
      </w:r>
    </w:p>
    <w:p>
      <w:pPr>
        <w:pStyle w:val="ListBullet"/>
        <w:spacing w:after="60"/>
      </w:pPr>
      <w:r>
        <w:rPr>
          <w:sz w:val="20"/>
        </w:rPr>
        <w:t>MitoFish's own duplicate/near-duplicate accessions mean exact species-level precision is still somewhat blurred.</w:t>
      </w:r>
    </w:p>
    <w:p>
      <w:pPr>
        <w:pStyle w:val="ListBullet"/>
        <w:spacing w:after="60"/>
      </w:pPr>
      <w:r>
        <w:rPr>
          <w:sz w:val="20"/>
        </w:rPr>
        <w:t>The remaining reference concentration, while now explained plausibly, has not been confirmed against the study's actual sample-site or fishing-activity records.</w:t>
      </w:r>
    </w:p>
    <w:p>
      <w:pPr>
        <w:pStyle w:val="ListBullet"/>
        <w:spacing w:after="60"/>
      </w:pPr>
      <w:r>
        <w:rPr>
          <w:sz w:val="20"/>
        </w:rPr>
        <w:t>Only 9.5% of reads were confidently assigned — the majority remain honestly unclassified rather than force-matched.</w:t>
      </w:r>
    </w:p>
    <w:p>
      <w:pPr>
        <w:spacing w:before="280" w:after="120"/>
        <w:pBdr>
          <w:bottom w:val="single" w:sz="6" w:space="2" w:color="1F3A5F"/>
        </w:pBdr>
      </w:pPr>
      <w:r>
        <w:rPr>
          <w:b/>
          <w:color w:val="1F3A5F"/>
          <w:sz w:val="28"/>
        </w:rPr>
        <w:t>7. Overall Takeaways</w:t>
      </w:r>
    </w:p>
    <w:p>
      <w:pPr>
        <w:pStyle w:val="ListBullet"/>
        <w:spacing w:after="60"/>
      </w:pPr>
      <w:r>
        <w:rPr>
          <w:sz w:val="20"/>
        </w:rPr>
        <w:t>Read length and database length must match biologically, not just numerically (Run 1 → Run 2).</w:t>
      </w:r>
    </w:p>
    <w:p>
      <w:pPr>
        <w:pStyle w:val="ListBullet"/>
        <w:spacing w:after="60"/>
      </w:pPr>
      <w:r>
        <w:rPr>
          <w:sz w:val="20"/>
        </w:rPr>
        <w:t>Always confirm what marker/gene a dataset actually targets from real metadata — never assume from read length alone (Run 2's key discovery).</w:t>
      </w:r>
    </w:p>
    <w:p>
      <w:pPr>
        <w:pStyle w:val="ListBullet"/>
        <w:spacing w:after="60"/>
      </w:pPr>
      <w:r>
        <w:rPr>
          <w:sz w:val="20"/>
        </w:rPr>
        <w:t>The right database family matters more than a well-tuned wrong one (Run 2 → Run 3).</w:t>
      </w:r>
    </w:p>
    <w:p>
      <w:pPr>
        <w:pStyle w:val="ListBullet"/>
        <w:spacing w:after="60"/>
      </w:pPr>
      <w:r>
        <w:rPr>
          <w:sz w:val="20"/>
        </w:rPr>
        <w:t>A single AI similarity score should not be trusted alone for species-level claims — an independent, direct verification step (real DNA alignment) meaningfully improves reliability and catches problems a similarity score alone would hide (Run 3 → Run 4).</w:t>
      </w:r>
    </w:p>
    <w:p>
      <w:pPr>
        <w:pStyle w:val="ListBullet"/>
        <w:spacing w:after="60"/>
      </w:pPr>
      <w:r>
        <w:rPr>
          <w:sz w:val="20"/>
        </w:rPr>
        <w:t>Every run in this project avoided forcing a positive result when the evidence didn't support it — unclassified reads were always reported honestly rather than hidden.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