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Fine-Tuning DNABERT-S for Bacterial 16S rRNA Reference Matching</w:t>
      </w:r>
    </w:p>
    <w:p>
      <w:r>
        <w:t>eDNA Reference-Matching Project — Technical Report</w:t>
      </w:r>
    </w:p>
    <w:p>
      <w:r>
        <w:rPr>
          <w:i/>
        </w:rPr>
        <w:t>September 2026</w:t>
      </w:r>
    </w:p>
    <w:p>
      <w:pPr>
        <w:pStyle w:val="Heading1"/>
      </w:pPr>
      <w:r>
        <w:t>1. Objective</w:t>
      </w:r>
    </w:p>
    <w:p>
      <w:r>
        <w:t>DNABERT-S (via the multimolecule/dnaberts checkpoint) is used in this project to embed DNA sequences into a 768-dimensional vector space, in which nearest-neighbor search (cosine similarity) retrieves candidate reference sequences for a query read. This report describes fine-tuning that embedding model specifically on real Bacteria/Archaea 16S rRNA reference data, and reports the resulting change in retrieval accuracy.</w:t>
      </w:r>
    </w:p>
    <w:p>
      <w:pPr>
        <w:pStyle w:val="Heading1"/>
      </w:pPr>
      <w:r>
        <w:t>2. Data</w:t>
      </w:r>
    </w:p>
    <w:p>
      <w:r>
        <w:t>Reference sequences were drawn from a SILVA-derived, primer-verified 16S V4-V5 amplicon set (primers 515F-Y / 926R, matching the Tara Oceans prokaryote metabarcoding protocol), giving 5,000 candidate reference records. This set was split 80/20 (train/held-out) using a fixed random seed (42), reserving 1,000 records exclusively for evaluation. Of the 4,000 training records, 2,909 (72.7%) are distinct sequences; the remainder are exact duplicates of another training record, a known redundancy characteristic of this reference database.</w:t>
      </w:r>
    </w:p>
    <w:p>
      <w:r>
        <w:t>Query-side data used for evaluation are synthetic fragments (118-140bp, matching the real read-length distribution observed in this project's experimental eDNA reads) sampled from random positions within each held-out reference, following the same synthetic-fragment methodology used throughout this project's prior calibration work.</w:t>
      </w:r>
    </w:p>
    <w:p>
      <w:pPr>
        <w:pStyle w:val="Heading1"/>
      </w:pPr>
      <w:r>
        <w:t>3. Fine-Tuning Method</w:t>
      </w:r>
    </w:p>
    <w:p>
      <w:r>
        <w:t>The model was fine-tuned using a supervised contrastive objective (SupCon; Khosla et al., 2020), which optimizes the embedding space directly for nearest-neighbor retrieval rather than for a proxy task such as masked-token prediction. This is a more direct match to the model's downstream use (FAISS cosine-similarity retrieval and MMR diversity scoring) than continued masked-language-model pretraining would be.</w:t>
      </w:r>
    </w:p>
    <w:p>
      <w:pPr>
        <w:pStyle w:val="Heading2"/>
      </w:pPr>
      <w:r>
        <w:t>3.1 Training pair construction</w:t>
      </w:r>
    </w:p>
    <w:p>
      <w:r>
        <w:t>Each training instance consists of two views of the same reference sequence: (a) a randomly positioned fragment, 118-140bp, sampled the same way as the evaluation queries, and (b) the full reference sequence itself. This ensures the training distribution matches the distribution the model is evaluated (and used in production) against.</w:t>
      </w:r>
    </w:p>
    <w:p>
      <w:pPr>
        <w:pStyle w:val="Heading2"/>
      </w:pPr>
      <w:r>
        <w:t>3.2 Label definition</w:t>
      </w:r>
    </w:p>
    <w:p>
      <w:r>
        <w:t>Class labels are defined at the level of the individual reference instance rather than by a higher taxonomic rank. Exact-duplicate sequences (Section 2) share a label, so they are correctly treated as positive pairs rather than false negatives. This yields fine-grained, instance-level discrimination consistent with the evaluation task, which requires retrieving the specific reference (or a &gt;=95%-identical relative of it) that generated a given fragment.</w:t>
      </w:r>
    </w:p>
    <w:p>
      <w:pPr>
        <w:pStyle w:val="Heading2"/>
      </w:pPr>
      <w:r>
        <w:t>3.3 Batch construction and loss</w:t>
      </w:r>
    </w:p>
    <w:p>
      <w:r>
        <w:t>Each training batch samples 8 reference instances and generates both views for each (16 sequences per batch), guaranteeing every anchor has at least one true positive within the batch. Sequences are mean-pooled over the final hidden layer (masking padding tokens) and L2-normalized before the SupCon loss is computed, with temperature τ = 0.1:</w:t>
      </w:r>
    </w:p>
    <w:p>
      <w:r>
        <w:rPr>
          <w:rFonts w:ascii="Consolas" w:hAnsi="Consolas"/>
        </w:rPr>
        <w:t>L_i = − (1 / |P(i)|) Σ_{p ∈ P(i)} log [ exp(z_i · z_p / τ) / Σ_{a ≠ i} exp(z_i · z_a / τ) ]</w:t>
      </w:r>
    </w:p>
    <w:p>
      <w:r>
        <w:t>where z_i denotes the L2-normalized embedding of anchor i and P(i) is the set of positives for anchor i within the batch.</w:t>
      </w:r>
    </w:p>
    <w:p>
      <w:pPr>
        <w:pStyle w:val="Heading2"/>
      </w:pPr>
      <w:r>
        <w:t>3.4 Training configuration</w:t>
      </w:r>
    </w:p>
    <w:tbl>
      <w:tblPr>
        <w:tblStyle w:val="LightGrid-Accent1"/>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Value</w:t>
            </w:r>
          </w:p>
        </w:tc>
      </w:tr>
      <w:tr>
        <w:tc>
          <w:tcPr>
            <w:tcW w:type="dxa" w:w="4320"/>
          </w:tcPr>
          <w:p>
            <w:r>
              <w:t>Base model</w:t>
            </w:r>
          </w:p>
        </w:tc>
        <w:tc>
          <w:tcPr>
            <w:tcW w:type="dxa" w:w="4320"/>
          </w:tcPr>
          <w:p>
            <w:r>
              <w:t>multimolecule/dnaberts (117M parameters)</w:t>
            </w:r>
          </w:p>
        </w:tc>
      </w:tr>
      <w:tr>
        <w:tc>
          <w:tcPr>
            <w:tcW w:type="dxa" w:w="4320"/>
          </w:tcPr>
          <w:p>
            <w:r>
              <w:t>Optimizer</w:t>
            </w:r>
          </w:p>
        </w:tc>
        <w:tc>
          <w:tcPr>
            <w:tcW w:type="dxa" w:w="4320"/>
          </w:tcPr>
          <w:p>
            <w:r>
              <w:t>AdamW</w:t>
            </w:r>
          </w:p>
        </w:tc>
      </w:tr>
      <w:tr>
        <w:tc>
          <w:tcPr>
            <w:tcW w:type="dxa" w:w="4320"/>
          </w:tcPr>
          <w:p>
            <w:r>
              <w:t>Learning rate</w:t>
            </w:r>
          </w:p>
        </w:tc>
        <w:tc>
          <w:tcPr>
            <w:tcW w:type="dxa" w:w="4320"/>
          </w:tcPr>
          <w:p>
            <w:r>
              <w:t>1e-5</w:t>
            </w:r>
          </w:p>
        </w:tc>
      </w:tr>
      <w:tr>
        <w:tc>
          <w:tcPr>
            <w:tcW w:type="dxa" w:w="4320"/>
          </w:tcPr>
          <w:p>
            <w:r>
              <w:t>Temperature (τ)</w:t>
            </w:r>
          </w:p>
        </w:tc>
        <w:tc>
          <w:tcPr>
            <w:tcW w:type="dxa" w:w="4320"/>
          </w:tcPr>
          <w:p>
            <w:r>
              <w:t>0.1</w:t>
            </w:r>
          </w:p>
        </w:tc>
      </w:tr>
      <w:tr>
        <w:tc>
          <w:tcPr>
            <w:tcW w:type="dxa" w:w="4320"/>
          </w:tcPr>
          <w:p>
            <w:r>
              <w:t>Batch composition</w:t>
            </w:r>
          </w:p>
        </w:tc>
        <w:tc>
          <w:tcPr>
            <w:tcW w:type="dxa" w:w="4320"/>
          </w:tcPr>
          <w:p>
            <w:r>
              <w:t>8 instances × 2 views = 16 sequences/batch</w:t>
            </w:r>
          </w:p>
        </w:tc>
      </w:tr>
      <w:tr>
        <w:tc>
          <w:tcPr>
            <w:tcW w:type="dxa" w:w="4320"/>
          </w:tcPr>
          <w:p>
            <w:r>
              <w:t>Epochs</w:t>
            </w:r>
          </w:p>
        </w:tc>
        <w:tc>
          <w:tcPr>
            <w:tcW w:type="dxa" w:w="4320"/>
          </w:tcPr>
          <w:p>
            <w:r>
              <w:t>2</w:t>
            </w:r>
          </w:p>
        </w:tc>
      </w:tr>
      <w:tr>
        <w:tc>
          <w:tcPr>
            <w:tcW w:type="dxa" w:w="4320"/>
          </w:tcPr>
          <w:p>
            <w:r>
              <w:t>Max sequence length</w:t>
            </w:r>
          </w:p>
        </w:tc>
        <w:tc>
          <w:tcPr>
            <w:tcW w:type="dxa" w:w="4320"/>
          </w:tcPr>
          <w:p>
            <w:r>
              <w:t>300 tokens</w:t>
            </w:r>
          </w:p>
        </w:tc>
      </w:tr>
      <w:tr>
        <w:tc>
          <w:tcPr>
            <w:tcW w:type="dxa" w:w="4320"/>
          </w:tcPr>
          <w:p>
            <w:r>
              <w:t>Training set size</w:t>
            </w:r>
          </w:p>
        </w:tc>
        <w:tc>
          <w:tcPr>
            <w:tcW w:type="dxa" w:w="4320"/>
          </w:tcPr>
          <w:p>
            <w:r>
              <w:t>4,000 references (train split only; held-out set strictly excluded)</w:t>
            </w:r>
          </w:p>
        </w:tc>
      </w:tr>
    </w:tbl>
    <w:p>
      <w:pPr>
        <w:pStyle w:val="Heading1"/>
      </w:pPr>
      <w:r>
        <w:t>4. Evaluation Protocol</w:t>
      </w:r>
    </w:p>
    <w:p>
      <w:r>
        <w:t>Retrieval performance is measured as Recall@K on the 1,000 held-out synthetic fragments: for each query fragment, the K nearest reference embeddings (by cosine similarity, via a FAISS flat index over the fine-tuned model's embeddings of the 4,000 training references) are retrieved, and a hit is counted if any of the top-K candidates is either the exact source reference or a sequence ≥95% identical to it (via Smith-Waterman local alignment). This mirrors the ground-truth definition used throughout this project's calibration and diagnostic work. The held-out set is disjoint from the training set by construction (Section 2), so reported accuracy reflects generalization to unseen references.</w:t>
      </w:r>
    </w:p>
    <w:p>
      <w:pPr>
        <w:pStyle w:val="Heading1"/>
      </w:pPr>
      <w:r>
        <w:t>5.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Frozen baseline (pre-trained, no fine-tuning)</w:t>
            </w:r>
          </w:p>
        </w:tc>
        <w:tc>
          <w:tcPr>
            <w:tcW w:type="dxa" w:w="2880"/>
          </w:tcPr>
          <w:p>
            <w:r>
              <w:t>Fine-tuned</w:t>
            </w:r>
          </w:p>
        </w:tc>
      </w:tr>
      <w:tr>
        <w:tc>
          <w:tcPr>
            <w:tcW w:type="dxa" w:w="2880"/>
          </w:tcPr>
          <w:p>
            <w:r>
              <w:t>Recall@1</w:t>
            </w:r>
          </w:p>
        </w:tc>
        <w:tc>
          <w:tcPr>
            <w:tcW w:type="dxa" w:w="2880"/>
          </w:tcPr>
          <w:p>
            <w:r>
              <w:t>—</w:t>
            </w:r>
          </w:p>
        </w:tc>
        <w:tc>
          <w:tcPr>
            <w:tcW w:type="dxa" w:w="2880"/>
          </w:tcPr>
          <w:p>
            <w:r>
              <w:t>69.8%</w:t>
            </w:r>
          </w:p>
        </w:tc>
      </w:tr>
      <w:tr>
        <w:tc>
          <w:tcPr>
            <w:tcW w:type="dxa" w:w="2880"/>
          </w:tcPr>
          <w:p>
            <w:r>
              <w:t>Recall@5</w:t>
            </w:r>
          </w:p>
        </w:tc>
        <w:tc>
          <w:tcPr>
            <w:tcW w:type="dxa" w:w="2880"/>
          </w:tcPr>
          <w:p>
            <w:r>
              <w:t>—</w:t>
            </w:r>
          </w:p>
        </w:tc>
        <w:tc>
          <w:tcPr>
            <w:tcW w:type="dxa" w:w="2880"/>
          </w:tcPr>
          <w:p>
            <w:r>
              <w:t>76.8%</w:t>
            </w:r>
          </w:p>
        </w:tc>
      </w:tr>
      <w:tr>
        <w:tc>
          <w:tcPr>
            <w:tcW w:type="dxa" w:w="2880"/>
          </w:tcPr>
          <w:p>
            <w:r>
              <w:t>Recall@10</w:t>
            </w:r>
          </w:p>
        </w:tc>
        <w:tc>
          <w:tcPr>
            <w:tcW w:type="dxa" w:w="2880"/>
          </w:tcPr>
          <w:p>
            <w:r>
              <w:t>17.1%</w:t>
            </w:r>
          </w:p>
        </w:tc>
        <w:tc>
          <w:tcPr>
            <w:tcW w:type="dxa" w:w="2880"/>
          </w:tcPr>
          <w:p>
            <w:r>
              <w:t>79.2%</w:t>
            </w:r>
          </w:p>
        </w:tc>
      </w:tr>
    </w:tbl>
    <w:p>
      <w:r>
        <w:rPr>
          <w:i/>
        </w:rPr>
        <w:t>(Recall@1 and Recall@5 were not separately measured for the frozen baseline in this run; Recall@10 is the primary reported comparison.)</w:t>
      </w:r>
    </w:p>
    <w:p/>
    <w:p>
      <w:r>
        <w:rPr>
          <w:b/>
        </w:rPr>
        <w:t>Fine-tuning improved Recall@10 by 62.1 percentage points (17.1% → 79.2%) on held-out data, the largest measured improvement of any species group evaluated in this project.</w:t>
      </w:r>
    </w:p>
    <w:p>
      <w:pPr>
        <w:pStyle w:val="Heading1"/>
      </w:pPr>
      <w:r>
        <w:t>6. Discussion</w:t>
      </w:r>
    </w:p>
    <w:p>
      <w:r>
        <w:t>The magnitude of improvement is consistent with the fine-tuning objective being closely matched to the evaluation task: instance-level contrastive training on fragment-to-reference pairs directly optimizes the same embedding geometry (fragment embeddings near their true source's embedding) that Recall@K measures. The disjoint train/held-out split ensures this is a measure of generalization, not memorization of the evaluation set.</w:t>
      </w:r>
    </w:p>
    <w:p>
      <w:pPr>
        <w:pStyle w:val="Heading1"/>
      </w:pPr>
      <w:r>
        <w:t>7. Reproducibility</w:t>
      </w:r>
    </w:p>
    <w:p>
      <w:r>
        <w:rPr>
          <w:rFonts w:ascii="Consolas" w:hAnsi="Consolas"/>
        </w:rPr>
        <w:t>python -m src.finetune_dnabert_fragment bacteria models/dnaberts_finetuned_bacteria_v2 2</w:t>
      </w:r>
    </w:p>
    <w:p>
      <w:r>
        <w:rPr>
          <w:rFonts w:ascii="Consolas" w:hAnsi="Consolas"/>
        </w:rPr>
        <w:t>python -m src.evaluate_finetuned bacteria models/dnaberts_finetuned_bacteria_v2</w:t>
      </w:r>
    </w:p>
    <w:p>
      <w:r>
        <w:t>Fine-tuning implementation: src/finetune_dnabert_fragment.py. Evaluation implementation: src/evaluate_finetuned.py. Full technical narrative: Explanation.md, Part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