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600" w:after="160"/>
        <w:jc w:val="center"/>
        <w:rPr/>
      </w:pPr>
      <w:r>
        <w:rPr>
          <w:b/>
          <w:color w:val="1F3A5F"/>
          <w:sz w:val="76"/>
        </w:rPr>
        <w:t>POC 6</w:t>
      </w:r>
    </w:p>
    <w:p>
      <w:pPr>
        <w:pStyle w:val="Normal"/>
        <w:jc w:val="center"/>
        <w:rPr/>
      </w:pPr>
      <w:r>
        <w:rPr>
          <w:b/>
          <w:color w:val="2F8F7F"/>
          <w:sz w:val="34"/>
        </w:rPr>
        <w:t>Scaling the Eukaryota Dataset and Measuring</w:t>
        <w:br/>
        <w:t>Precision, Recall and F1</w:t>
      </w:r>
    </w:p>
    <w:p>
      <w:pPr>
        <w:pStyle w:val="Normal"/>
        <w:spacing w:before="280" w:after="160"/>
        <w:jc w:val="center"/>
        <w:rPr/>
      </w:pPr>
      <w:r>
        <w:rPr>
          <w:i/>
          <w:color w:val="5A6472"/>
          <w:sz w:val="23"/>
        </w:rPr>
        <w:t>Expanding the eukaryota reference set 29-fold, fine-tuning on it, and</w:t>
        <w:br/>
        <w:t>evaluating all three kingdoms as a decision system at</w:t>
        <w:br/>
        <w:t>1,000 / 2,000 / 5,000 held-out samples</w:t>
      </w:r>
    </w:p>
    <w:p>
      <w:pPr>
        <w:pStyle w:val="Normal"/>
        <w:spacing w:before="4600" w:after="160"/>
        <w:jc w:val="center"/>
        <w:rPr/>
      </w:pPr>
      <w:r>
        <w:rPr>
          <w:color w:val="5A6472"/>
          <w:sz w:val="21"/>
        </w:rPr>
        <w:t>eDNA-TaxAI  ·  29 September 2026</w:t>
      </w:r>
    </w:p>
    <w:p>
      <w:pPr>
        <w:pStyle w:val="Normal"/>
        <w:rPr/>
      </w:pPr>
      <w:r>
        <w:rPr/>
      </w:r>
      <w:r>
        <w:br w:type="page"/>
      </w:r>
    </w:p>
    <w:p>
      <w:pPr>
        <w:pStyle w:val="Heading1"/>
        <w:rPr/>
      </w:pPr>
      <w:r>
        <w:rPr/>
        <w:t>1. Executive Summary</w:t>
      </w:r>
    </w:p>
    <w:p>
      <w:pPr>
        <w:pStyle w:val="Normal"/>
        <w:spacing w:before="0" w:after="160"/>
        <w:rPr/>
      </w:pPr>
      <w:r>
        <w:rPr>
          <w:b w:val="false"/>
          <w:i w:val="false"/>
          <w:color w:val="222222"/>
          <w:sz w:val="22"/>
        </w:rPr>
        <w:t>POC 6 closes the last measurement gap in the project. Three things were done:</w:t>
      </w:r>
    </w:p>
    <w:p>
      <w:pPr>
        <w:pStyle w:val="ListBullet"/>
        <w:numPr>
          <w:ilvl w:val="0"/>
          <w:numId w:val="1"/>
        </w:numPr>
        <w:spacing w:before="0" w:after="80"/>
        <w:contextualSpacing/>
        <w:rPr/>
      </w:pPr>
      <w:r>
        <w:rPr>
          <w:b/>
          <w:sz w:val="21"/>
        </w:rPr>
        <w:t xml:space="preserve">1. Fixed the eukaryota sample-size problem. </w:t>
      </w:r>
      <w:r>
        <w:rPr>
          <w:sz w:val="21"/>
        </w:rPr>
        <w:t>Eukaryota's reference set was limited to 853 records, which allowed only 89 held-out test fragments — too coarse to measure anything, since one fragment moved the score by 1.1 percentage points. It was rebuilt to 25,000 records from a pool that had been sitting unused since Part 2.</w:t>
      </w:r>
    </w:p>
    <w:p>
      <w:pPr>
        <w:pStyle w:val="ListBullet"/>
        <w:numPr>
          <w:ilvl w:val="0"/>
          <w:numId w:val="1"/>
        </w:numPr>
        <w:spacing w:before="0" w:after="80"/>
        <w:contextualSpacing/>
        <w:rPr/>
      </w:pPr>
      <w:r>
        <w:rPr>
          <w:b/>
          <w:sz w:val="21"/>
        </w:rPr>
        <w:t xml:space="preserve">2. Fine-tuned on the new set. </w:t>
      </w:r>
      <w:r>
        <w:rPr>
          <w:sz w:val="21"/>
        </w:rPr>
        <w:t>A fourth checkpoint was trained on the new 20,000-reference training split, using the corrected recipe from Part 12.</w:t>
      </w:r>
    </w:p>
    <w:p>
      <w:pPr>
        <w:pStyle w:val="ListBullet"/>
        <w:numPr>
          <w:ilvl w:val="0"/>
          <w:numId w:val="1"/>
        </w:numPr>
        <w:spacing w:before="0" w:after="80"/>
        <w:contextualSpacing/>
        <w:rPr/>
      </w:pPr>
      <w:r>
        <w:rPr>
          <w:b/>
          <w:sz w:val="21"/>
        </w:rPr>
        <w:t xml:space="preserve">3. Measured precision / recall / F1. </w:t>
      </w:r>
      <w:r>
        <w:rPr>
          <w:sz w:val="21"/>
        </w:rPr>
        <w:t>All three kingdoms were scored as a decision system — precision, recall and F1 on the pipeline's actual commit/abstain output — frozen versus fine-tuned, at three test-set sizes.</w:t>
      </w:r>
    </w:p>
    <w:p>
      <w:pPr>
        <w:pStyle w:val="Normal"/>
        <w:spacing w:before="0" w:after="160"/>
        <w:rPr/>
      </w:pPr>
      <w:r>
        <w:rPr>
          <w:b/>
          <w:i w:val="false"/>
          <w:color w:val="222222"/>
          <w:sz w:val="22"/>
        </w:rPr>
        <w:t>The headline result, across 15,000 held-out test fragments in total:</w:t>
      </w:r>
    </w:p>
    <w:tbl>
      <w:tblPr>
        <w:tblW w:w="929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298"/>
      </w:tblGrid>
      <w:tr>
        <w:trPr/>
        <w:tc>
          <w:tcPr>
            <w:tcW w:w="9298" w:type="dxa"/>
            <w:tcBorders>
              <w:top w:val="single" w:sz="10" w:space="0" w:color="1F3A5F"/>
              <w:left w:val="single" w:sz="10" w:space="0" w:color="1F3A5F"/>
              <w:bottom w:val="single" w:sz="10" w:space="0" w:color="1F3A5F"/>
              <w:right w:val="single" w:sz="10" w:space="0" w:color="1F3A5F"/>
            </w:tcBorders>
            <w:shd w:color="auto" w:fill="EEF2F7" w:val="clear"/>
          </w:tcPr>
          <w:p>
            <w:pPr>
              <w:pStyle w:val="Normal"/>
              <w:widowControl w:val="false"/>
              <w:spacing w:before="80" w:after="80"/>
              <w:rPr/>
            </w:pPr>
            <w:r>
              <w:rPr>
                <w:i/>
                <w:sz w:val="21"/>
              </w:rPr>
              <w:t>Fine-tuning the embedding model changes the production pipeline's answers by essentially nothing. Net effect across all three kingdoms at n=5,000: +3 correct calls for bacteria, −1 for fish, and 0 for eukaryota — despite the fine-tuned models being 62.1, 35.2 and (previously) 6.7 percentage points better when measured in isolation. For eukaryota, the kingdom with 5,000 fully independent samples, the two arms are identical to four decimal places at every sample size.</w:t>
            </w:r>
          </w:p>
        </w:tc>
      </w:tr>
    </w:tbl>
    <w:p>
      <w:pPr>
        <w:pStyle w:val="Normal"/>
        <w:rPr/>
      </w:pPr>
      <w:r>
        <w:rPr/>
      </w:r>
    </w:p>
    <w:p>
      <w:pPr>
        <w:pStyle w:val="Normal"/>
        <w:spacing w:before="0" w:after="160"/>
        <w:rPr/>
      </w:pPr>
      <w:r>
        <w:rPr>
          <w:b w:val="false"/>
          <w:i w:val="false"/>
          <w:color w:val="222222"/>
          <w:sz w:val="22"/>
        </w:rPr>
        <w:t>This confirms, under proper classification metrics and with 5x more test data, what Parts 13 and 14 found using Recall@K: BM25 retrieves almost every answer the system is capable of finding, and the embedding model — however much better it gets — can only reorder what BM25 already handed it.</w:t>
      </w:r>
    </w:p>
    <w:p>
      <w:pPr>
        <w:pStyle w:val="Normal"/>
        <w:rPr/>
      </w:pPr>
      <w:r>
        <w:rPr/>
      </w:r>
      <w:r>
        <w:br w:type="page"/>
      </w:r>
    </w:p>
    <w:p>
      <w:pPr>
        <w:pStyle w:val="Heading1"/>
        <w:rPr/>
      </w:pPr>
      <w:r>
        <w:rPr/>
        <w:t>2. The Eukaryota Dataset Problem, and the Fix</w:t>
      </w:r>
    </w:p>
    <w:p>
      <w:pPr>
        <w:pStyle w:val="Heading2"/>
        <w:rPr/>
      </w:pPr>
      <w:r>
        <w:rPr/>
        <w:t>2.1 Why 853 references was not enough</w:t>
      </w:r>
    </w:p>
    <w:p>
      <w:pPr>
        <w:pStyle w:val="Normal"/>
        <w:spacing w:before="0" w:after="160"/>
        <w:rPr/>
      </w:pPr>
      <w:r>
        <w:rPr>
          <w:b w:val="false"/>
          <w:i w:val="false"/>
          <w:color w:val="222222"/>
          <w:sz w:val="22"/>
        </w:rPr>
        <w:t>Part 9 built the eukaryota reference set using Tara Pacific's real 1389F/1510R primers, because those match the actual ERR10928327 seawater reads being classified. That was the correct decision for classifying those reads. But only 865 SILVA records contained that exact primer pair, giving 853 usable references — and after the standard 80/20 split, just 89 held-out test fragments.</w:t>
      </w:r>
    </w:p>
    <w:p>
      <w:pPr>
        <w:pStyle w:val="Normal"/>
        <w:spacing w:before="0" w:after="160"/>
        <w:rPr/>
      </w:pPr>
      <w:r>
        <w:rPr>
          <w:b w:val="false"/>
          <w:i w:val="false"/>
          <w:color w:val="222222"/>
          <w:sz w:val="22"/>
        </w:rPr>
        <w:t>At n=89, a single fragment is worth 1.1 percentage points. Any precision, recall or F1 computed on that is dominated by sampling noise, and no comparison between two models could be trusted.</w:t>
      </w:r>
    </w:p>
    <w:p>
      <w:pPr>
        <w:pStyle w:val="Heading2"/>
        <w:rPr/>
      </w:pPr>
      <w:r>
        <w:rPr/>
        <w:t>2.2 The unused pool</w:t>
      </w:r>
    </w:p>
    <w:p>
      <w:pPr>
        <w:pStyle w:val="Normal"/>
        <w:spacing w:before="0" w:after="160"/>
        <w:rPr/>
      </w:pPr>
      <w:r>
        <w:rPr>
          <w:b w:val="false"/>
          <w:i w:val="false"/>
          <w:color w:val="222222"/>
          <w:sz w:val="22"/>
        </w:rPr>
        <w:t>Part 2 had already extracted the same gene region (18S V9) from the same SILVA database using the standard Earth Microbiome Project primers, 1391F/EukBr. That extraction produced 140,968 amplicons and had been unused since Part 8 sampled 5,000 of them. No new download was required.</w:t>
      </w:r>
    </w:p>
    <w:tbl>
      <w:tblPr>
        <w:tblStyle w:val="TableGrid"/>
        <w:tblW w:w="929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24"/>
        <w:gridCol w:w="2324"/>
        <w:gridCol w:w="2324"/>
        <w:gridCol w:w="2324"/>
      </w:tblGrid>
      <w:tr>
        <w:trPr>
          <w:tblHeader w:val="true"/>
        </w:trPr>
        <w:tc>
          <w:tcPr>
            <w:tcW w:w="2324" w:type="dxa"/>
            <w:tcBorders/>
            <w:shd w:color="auto" w:fill="1F3A5F" w:val="clear"/>
          </w:tcPr>
          <w:p>
            <w:pPr>
              <w:pStyle w:val="Normal"/>
              <w:widowControl/>
              <w:spacing w:before="0" w:after="160"/>
              <w:jc w:val="center"/>
              <w:rPr>
                <w:rFonts w:eastAsia="ＭＳ 明朝" w:cs=""/>
                <w:kern w:val="0"/>
                <w:szCs w:val="22"/>
                <w:lang w:val="en-US" w:eastAsia="en-US" w:bidi="ar-SA"/>
              </w:rPr>
            </w:pPr>
            <w:r>
              <w:rPr>
                <w:rFonts w:eastAsia="ＭＳ 明朝" w:cs=""/>
                <w:b/>
                <w:color w:val="FFFFFF"/>
                <w:kern w:val="0"/>
                <w:sz w:val="19"/>
                <w:szCs w:val="22"/>
                <w:lang w:val="en-US" w:eastAsia="en-US" w:bidi="ar-SA"/>
              </w:rPr>
              <w:t>Eukaryota source</w:t>
            </w:r>
          </w:p>
        </w:tc>
        <w:tc>
          <w:tcPr>
            <w:tcW w:w="2324" w:type="dxa"/>
            <w:tcBorders/>
            <w:shd w:color="auto" w:fill="1F3A5F" w:val="clear"/>
          </w:tcPr>
          <w:p>
            <w:pPr>
              <w:pStyle w:val="Normal"/>
              <w:widowControl/>
              <w:spacing w:before="0" w:after="160"/>
              <w:jc w:val="center"/>
              <w:rPr>
                <w:rFonts w:eastAsia="ＭＳ 明朝" w:cs=""/>
                <w:kern w:val="0"/>
                <w:szCs w:val="22"/>
                <w:lang w:val="en-US" w:eastAsia="en-US" w:bidi="ar-SA"/>
              </w:rPr>
            </w:pPr>
            <w:r>
              <w:rPr>
                <w:rFonts w:eastAsia="ＭＳ 明朝" w:cs=""/>
                <w:b/>
                <w:color w:val="FFFFFF"/>
                <w:kern w:val="0"/>
                <w:sz w:val="19"/>
                <w:szCs w:val="22"/>
                <w:lang w:val="en-US" w:eastAsia="en-US" w:bidi="ar-SA"/>
              </w:rPr>
              <w:t>Primers</w:t>
            </w:r>
          </w:p>
        </w:tc>
        <w:tc>
          <w:tcPr>
            <w:tcW w:w="2324" w:type="dxa"/>
            <w:tcBorders/>
            <w:shd w:color="auto" w:fill="1F3A5F" w:val="clear"/>
          </w:tcPr>
          <w:p>
            <w:pPr>
              <w:pStyle w:val="Normal"/>
              <w:widowControl/>
              <w:spacing w:before="0" w:after="160"/>
              <w:jc w:val="center"/>
              <w:rPr>
                <w:rFonts w:eastAsia="ＭＳ 明朝" w:cs=""/>
                <w:kern w:val="0"/>
                <w:szCs w:val="22"/>
                <w:lang w:val="en-US" w:eastAsia="en-US" w:bidi="ar-SA"/>
              </w:rPr>
            </w:pPr>
            <w:r>
              <w:rPr>
                <w:rFonts w:eastAsia="ＭＳ 明朝" w:cs=""/>
                <w:b/>
                <w:color w:val="FFFFFF"/>
                <w:kern w:val="0"/>
                <w:sz w:val="19"/>
                <w:szCs w:val="22"/>
                <w:lang w:val="en-US" w:eastAsia="en-US" w:bidi="ar-SA"/>
              </w:rPr>
              <w:t>Total amplicons</w:t>
            </w:r>
          </w:p>
        </w:tc>
        <w:tc>
          <w:tcPr>
            <w:tcW w:w="2324" w:type="dxa"/>
            <w:tcBorders/>
            <w:shd w:color="auto" w:fill="1F3A5F" w:val="clear"/>
          </w:tcPr>
          <w:p>
            <w:pPr>
              <w:pStyle w:val="Normal"/>
              <w:widowControl/>
              <w:spacing w:before="0" w:after="160"/>
              <w:jc w:val="center"/>
              <w:rPr>
                <w:rFonts w:eastAsia="ＭＳ 明朝" w:cs=""/>
                <w:kern w:val="0"/>
                <w:szCs w:val="22"/>
                <w:lang w:val="en-US" w:eastAsia="en-US" w:bidi="ar-SA"/>
              </w:rPr>
            </w:pPr>
            <w:r>
              <w:rPr>
                <w:rFonts w:eastAsia="ＭＳ 明朝" w:cs=""/>
                <w:b/>
                <w:color w:val="FFFFFF"/>
                <w:kern w:val="0"/>
                <w:sz w:val="19"/>
                <w:szCs w:val="22"/>
                <w:lang w:val="en-US" w:eastAsia="en-US" w:bidi="ar-SA"/>
              </w:rPr>
              <w:t>Usable references</w:t>
            </w:r>
          </w:p>
        </w:tc>
      </w:tr>
      <w:tr>
        <w:trPr/>
        <w:tc>
          <w:tcPr>
            <w:tcW w:w="2324"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Tara set (Part 9, retained)</w:t>
            </w:r>
          </w:p>
        </w:tc>
        <w:tc>
          <w:tcPr>
            <w:tcW w:w="2324"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1389F / 1510R</w:t>
            </w:r>
          </w:p>
        </w:tc>
        <w:tc>
          <w:tcPr>
            <w:tcW w:w="2324"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865</w:t>
            </w:r>
          </w:p>
        </w:tc>
        <w:tc>
          <w:tcPr>
            <w:tcW w:w="2324"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853</w:t>
            </w:r>
          </w:p>
        </w:tc>
      </w:tr>
      <w:tr>
        <w:trPr/>
        <w:tc>
          <w:tcPr>
            <w:tcW w:w="2324"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Part 2 pool (now used)</w:t>
            </w:r>
          </w:p>
        </w:tc>
        <w:tc>
          <w:tcPr>
            <w:tcW w:w="2324"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1391F / EukBr</w:t>
            </w:r>
          </w:p>
        </w:tc>
        <w:tc>
          <w:tcPr>
            <w:tcW w:w="2324"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140,968</w:t>
            </w:r>
          </w:p>
        </w:tc>
        <w:tc>
          <w:tcPr>
            <w:tcW w:w="2324"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55,011 after filtering</w:t>
            </w:r>
          </w:p>
        </w:tc>
      </w:tr>
    </w:tbl>
    <w:p>
      <w:pPr>
        <w:pStyle w:val="Normal"/>
        <w:rPr/>
      </w:pPr>
      <w:r>
        <w:rPr/>
      </w:r>
    </w:p>
    <w:p>
      <w:pPr>
        <w:pStyle w:val="Heading2"/>
        <w:rPr/>
      </w:pPr>
      <w:r>
        <w:rPr/>
        <w:t>2.3 How the new set was built, and what it costs</w:t>
      </w:r>
    </w:p>
    <w:p>
      <w:pPr>
        <w:pStyle w:val="Normal"/>
        <w:spacing w:before="0" w:after="160"/>
        <w:rPr/>
      </w:pPr>
      <w:r>
        <w:rPr>
          <w:b w:val="false"/>
          <w:i w:val="false"/>
          <w:color w:val="222222"/>
          <w:sz w:val="22"/>
        </w:rPr>
        <w:t>Two filters were applied, both deliberate and both documented in the code:</w:t>
      </w:r>
    </w:p>
    <w:p>
      <w:pPr>
        <w:pStyle w:val="ListBullet"/>
        <w:numPr>
          <w:ilvl w:val="0"/>
          <w:numId w:val="1"/>
        </w:numPr>
        <w:spacing w:before="0" w:after="80"/>
        <w:contextualSpacing/>
        <w:rPr/>
      </w:pPr>
      <w:r>
        <w:rPr>
          <w:b/>
          <w:sz w:val="21"/>
        </w:rPr>
        <w:t xml:space="preserve">Minimum length 141bp. </w:t>
      </w:r>
      <w:r>
        <w:rPr>
          <w:sz w:val="21"/>
        </w:rPr>
        <w:t>A reference must be strictly longer than the fragment cut from it. This pool averages only 126.8bp, so without this filter roughly 31% of held-out references yield no fragment at all — which is exactly why Part 8 requested 1,000 fragments and received 505. Filtering up front makes the held-out count exact.</w:t>
      </w:r>
    </w:p>
    <w:p>
      <w:pPr>
        <w:pStyle w:val="ListBullet"/>
        <w:numPr>
          <w:ilvl w:val="0"/>
          <w:numId w:val="1"/>
        </w:numPr>
        <w:spacing w:before="0" w:after="80"/>
        <w:contextualSpacing/>
        <w:rPr/>
      </w:pPr>
      <w:r>
        <w:rPr>
          <w:b/>
          <w:sz w:val="21"/>
        </w:rPr>
        <w:t xml:space="preserve">No ambiguity codes. </w:t>
      </w:r>
      <w:r>
        <w:rPr>
          <w:sz w:val="21"/>
        </w:rPr>
        <w:t>Reusing the same validation rule every prior stage applied, because the tokenizer crashes on IUPAC ambiguity codes. Dropped 909 records.</w:t>
      </w:r>
    </w:p>
    <w:p>
      <w:pPr>
        <w:pStyle w:val="Normal"/>
        <w:spacing w:before="0" w:after="160"/>
        <w:rPr/>
      </w:pPr>
      <w:r>
        <w:rPr>
          <w:b w:val="false"/>
          <w:i/>
          <w:color w:val="5A6472"/>
          <w:sz w:val="20"/>
        </w:rPr>
        <w:t>The honest cost of the length filter: it selects the longer ~40% of V9 amplicons (55,011 of 140,968), so the new set is not length-representative of the full pool. This is a deliberate trade of representativeness for a predictable, adequately powered test set.</w:t>
      </w:r>
    </w:p>
    <w:tbl>
      <w:tblPr>
        <w:tblStyle w:val="TableGrid"/>
        <w:tblW w:w="929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099"/>
        <w:gridCol w:w="3099"/>
        <w:gridCol w:w="3099"/>
      </w:tblGrid>
      <w:tr>
        <w:trPr>
          <w:tblHeader w:val="true"/>
        </w:trPr>
        <w:tc>
          <w:tcPr>
            <w:tcW w:w="3099" w:type="dxa"/>
            <w:tcBorders/>
            <w:shd w:color="auto" w:fill="1F3A5F" w:val="clear"/>
          </w:tcPr>
          <w:p>
            <w:pPr>
              <w:pStyle w:val="Normal"/>
              <w:widowControl/>
              <w:spacing w:before="0" w:after="160"/>
              <w:jc w:val="center"/>
              <w:rPr>
                <w:rFonts w:eastAsia="ＭＳ 明朝" w:cs=""/>
                <w:kern w:val="0"/>
                <w:szCs w:val="22"/>
                <w:lang w:val="en-US" w:eastAsia="en-US" w:bidi="ar-SA"/>
              </w:rPr>
            </w:pPr>
            <w:r>
              <w:rPr>
                <w:rFonts w:eastAsia="ＭＳ 明朝" w:cs=""/>
                <w:kern w:val="0"/>
                <w:szCs w:val="22"/>
                <w:lang w:val="en-US" w:eastAsia="en-US" w:bidi="ar-SA"/>
              </w:rPr>
            </w:r>
          </w:p>
        </w:tc>
        <w:tc>
          <w:tcPr>
            <w:tcW w:w="3099" w:type="dxa"/>
            <w:tcBorders/>
            <w:shd w:color="auto" w:fill="1F3A5F" w:val="clear"/>
          </w:tcPr>
          <w:p>
            <w:pPr>
              <w:pStyle w:val="Normal"/>
              <w:widowControl/>
              <w:spacing w:before="0" w:after="160"/>
              <w:jc w:val="center"/>
              <w:rPr>
                <w:rFonts w:eastAsia="ＭＳ 明朝" w:cs=""/>
                <w:kern w:val="0"/>
                <w:szCs w:val="22"/>
                <w:lang w:val="en-US" w:eastAsia="en-US" w:bidi="ar-SA"/>
              </w:rPr>
            </w:pPr>
            <w:r>
              <w:rPr>
                <w:rFonts w:eastAsia="ＭＳ 明朝" w:cs=""/>
                <w:b/>
                <w:color w:val="FFFFFF"/>
                <w:kern w:val="0"/>
                <w:sz w:val="19"/>
                <w:szCs w:val="22"/>
                <w:lang w:val="en-US" w:eastAsia="en-US" w:bidi="ar-SA"/>
              </w:rPr>
              <w:t>Old (Tara)</w:t>
            </w:r>
          </w:p>
        </w:tc>
        <w:tc>
          <w:tcPr>
            <w:tcW w:w="3099" w:type="dxa"/>
            <w:tcBorders/>
            <w:shd w:color="auto" w:fill="1F3A5F" w:val="clear"/>
          </w:tcPr>
          <w:p>
            <w:pPr>
              <w:pStyle w:val="Normal"/>
              <w:widowControl/>
              <w:spacing w:before="0" w:after="160"/>
              <w:jc w:val="center"/>
              <w:rPr>
                <w:rFonts w:eastAsia="ＭＳ 明朝" w:cs=""/>
                <w:kern w:val="0"/>
                <w:szCs w:val="22"/>
                <w:lang w:val="en-US" w:eastAsia="en-US" w:bidi="ar-SA"/>
              </w:rPr>
            </w:pPr>
            <w:r>
              <w:rPr>
                <w:rFonts w:eastAsia="ＭＳ 明朝" w:cs=""/>
                <w:b/>
                <w:color w:val="FFFFFF"/>
                <w:kern w:val="0"/>
                <w:sz w:val="19"/>
                <w:szCs w:val="22"/>
                <w:lang w:val="en-US" w:eastAsia="en-US" w:bidi="ar-SA"/>
              </w:rPr>
              <w:t>New (large pool)</w:t>
            </w:r>
          </w:p>
        </w:tc>
      </w:tr>
      <w:tr>
        <w:trPr/>
        <w:tc>
          <w:tcPr>
            <w:tcW w:w="3099"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Total references</w:t>
            </w:r>
          </w:p>
        </w:tc>
        <w:tc>
          <w:tcPr>
            <w:tcW w:w="3099"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853</w:t>
            </w:r>
          </w:p>
        </w:tc>
        <w:tc>
          <w:tcPr>
            <w:tcW w:w="3099"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25,000</w:t>
            </w:r>
          </w:p>
        </w:tc>
      </w:tr>
      <w:tr>
        <w:trPr/>
        <w:tc>
          <w:tcPr>
            <w:tcW w:w="3099"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Training split</w:t>
            </w:r>
          </w:p>
        </w:tc>
        <w:tc>
          <w:tcPr>
            <w:tcW w:w="3099"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683</w:t>
            </w:r>
          </w:p>
        </w:tc>
        <w:tc>
          <w:tcPr>
            <w:tcW w:w="3099"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20,000</w:t>
            </w:r>
          </w:p>
        </w:tc>
      </w:tr>
      <w:tr>
        <w:trPr/>
        <w:tc>
          <w:tcPr>
            <w:tcW w:w="3099"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Held-out split</w:t>
            </w:r>
          </w:p>
        </w:tc>
        <w:tc>
          <w:tcPr>
            <w:tcW w:w="3099"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171</w:t>
            </w:r>
          </w:p>
        </w:tc>
        <w:tc>
          <w:tcPr>
            <w:tcW w:w="3099"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5,000</w:t>
            </w:r>
          </w:p>
        </w:tc>
      </w:tr>
      <w:tr>
        <w:trPr/>
        <w:tc>
          <w:tcPr>
            <w:tcW w:w="3099"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b/>
                <w:kern w:val="0"/>
                <w:sz w:val="19"/>
                <w:szCs w:val="22"/>
                <w:lang w:val="en-US" w:eastAsia="en-US" w:bidi="ar-SA"/>
              </w:rPr>
              <w:t>Max independent test fragments</w:t>
            </w:r>
          </w:p>
        </w:tc>
        <w:tc>
          <w:tcPr>
            <w:tcW w:w="3099"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b/>
                <w:kern w:val="0"/>
                <w:sz w:val="19"/>
                <w:szCs w:val="22"/>
                <w:lang w:val="en-US" w:eastAsia="en-US" w:bidi="ar-SA"/>
              </w:rPr>
              <w:t>89</w:t>
            </w:r>
          </w:p>
        </w:tc>
        <w:tc>
          <w:tcPr>
            <w:tcW w:w="3099"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b/>
                <w:kern w:val="0"/>
                <w:sz w:val="19"/>
                <w:szCs w:val="22"/>
                <w:lang w:val="en-US" w:eastAsia="en-US" w:bidi="ar-SA"/>
              </w:rPr>
              <w:t>5,000</w:t>
            </w:r>
          </w:p>
        </w:tc>
      </w:tr>
    </w:tbl>
    <w:p>
      <w:pPr>
        <w:pStyle w:val="Normal"/>
        <w:rPr/>
      </w:pPr>
      <w:r>
        <w:rPr/>
      </w:r>
    </w:p>
    <w:tbl>
      <w:tblPr>
        <w:tblW w:w="929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298"/>
      </w:tblGrid>
      <w:tr>
        <w:trPr/>
        <w:tc>
          <w:tcPr>
            <w:tcW w:w="9298" w:type="dxa"/>
            <w:tcBorders>
              <w:top w:val="single" w:sz="10" w:space="0" w:color="1F3A5F"/>
              <w:left w:val="single" w:sz="10" w:space="0" w:color="1F3A5F"/>
              <w:bottom w:val="single" w:sz="10" w:space="0" w:color="1F3A5F"/>
              <w:right w:val="single" w:sz="10" w:space="0" w:color="1F3A5F"/>
            </w:tcBorders>
            <w:shd w:color="auto" w:fill="EEF2F7" w:val="clear"/>
          </w:tcPr>
          <w:p>
            <w:pPr>
              <w:pStyle w:val="Normal"/>
              <w:widowControl w:val="false"/>
              <w:spacing w:before="80" w:after="80"/>
              <w:rPr/>
            </w:pPr>
            <w:r>
              <w:rPr>
                <w:i/>
                <w:sz w:val="21"/>
              </w:rPr>
              <w:t>The new set is registered under a separate key. The Tara-primer table is untouched, so Part 9's real-read results and Part 14's eukaryota numbers remain exactly reproducible — nothing previously reported was overwritten.</w:t>
            </w:r>
          </w:p>
        </w:tc>
      </w:tr>
    </w:tbl>
    <w:p>
      <w:pPr>
        <w:pStyle w:val="Normal"/>
        <w:rPr/>
      </w:pPr>
      <w:r>
        <w:rPr/>
      </w:r>
    </w:p>
    <w:p>
      <w:pPr>
        <w:pStyle w:val="Normal"/>
        <w:rPr/>
      </w:pPr>
      <w:r>
        <w:rPr/>
      </w:r>
      <w:r>
        <w:br w:type="page"/>
      </w:r>
    </w:p>
    <w:p>
      <w:pPr>
        <w:pStyle w:val="Heading1"/>
        <w:rPr/>
      </w:pPr>
      <w:r>
        <w:rPr/>
        <w:t>3. Fine-Tuning on the New Set</w:t>
      </w:r>
    </w:p>
    <w:p>
      <w:pPr>
        <w:pStyle w:val="Normal"/>
        <w:spacing w:before="0" w:after="160"/>
        <w:rPr/>
      </w:pPr>
      <w:r>
        <w:rPr>
          <w:b w:val="false"/>
          <w:i w:val="false"/>
          <w:color w:val="222222"/>
          <w:sz w:val="22"/>
        </w:rPr>
        <w:t>The corrected Part 12 recipe was used unchanged: training pairs are a random 118–140bp fragment matched against its own full reference, labels are instance-level rather than taxonomic, and only the evaluation's training split is used so held-out references are genuinely unseen.</w:t>
      </w:r>
    </w:p>
    <w:p>
      <w:pPr>
        <w:pStyle w:val="Normal"/>
        <w:jc w:val="center"/>
        <w:rPr/>
      </w:pPr>
      <w:r>
        <w:rPr/>
        <w:drawing>
          <wp:inline distT="0" distB="0" distL="0" distR="0">
            <wp:extent cx="5760720" cy="321500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760720" cy="3215005"/>
                    </a:xfrm>
                    <a:prstGeom prst="rect">
                      <a:avLst/>
                    </a:prstGeom>
                  </pic:spPr>
                </pic:pic>
              </a:graphicData>
            </a:graphic>
          </wp:inline>
        </w:drawing>
      </w:r>
    </w:p>
    <w:p>
      <w:pPr>
        <w:pStyle w:val="Normal"/>
        <w:jc w:val="center"/>
        <w:rPr/>
      </w:pPr>
      <w:r>
        <w:rPr>
          <w:i/>
          <w:color w:val="5A6472"/>
          <w:sz w:val="19"/>
        </w:rPr>
        <w:t>Figure 1. The corrected fine-tuning recipe, applied here to the new eukaryota set.</w:t>
      </w:r>
    </w:p>
    <w:p>
      <w:pPr>
        <w:pStyle w:val="Heading2"/>
        <w:rPr/>
      </w:pPr>
      <w:r>
        <w:rPr/>
        <w:t>3.1 Training run</w:t>
      </w:r>
    </w:p>
    <w:tbl>
      <w:tblPr>
        <w:tblStyle w:val="TableGrid"/>
        <w:tblW w:w="929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649"/>
        <w:gridCol w:w="4648"/>
      </w:tblGrid>
      <w:tr>
        <w:trPr>
          <w:tblHeader w:val="true"/>
        </w:trPr>
        <w:tc>
          <w:tcPr>
            <w:tcW w:w="4649" w:type="dxa"/>
            <w:tcBorders/>
            <w:shd w:color="auto" w:fill="1F3A5F" w:val="clear"/>
          </w:tcPr>
          <w:p>
            <w:pPr>
              <w:pStyle w:val="Normal"/>
              <w:widowControl/>
              <w:spacing w:before="0" w:after="160"/>
              <w:jc w:val="center"/>
              <w:rPr>
                <w:rFonts w:eastAsia="ＭＳ 明朝" w:cs=""/>
                <w:kern w:val="0"/>
                <w:szCs w:val="22"/>
                <w:lang w:val="en-US" w:eastAsia="en-US" w:bidi="ar-SA"/>
              </w:rPr>
            </w:pPr>
            <w:r>
              <w:rPr>
                <w:rFonts w:eastAsia="ＭＳ 明朝" w:cs=""/>
                <w:b/>
                <w:color w:val="FFFFFF"/>
                <w:kern w:val="0"/>
                <w:sz w:val="19"/>
                <w:szCs w:val="22"/>
                <w:lang w:val="en-US" w:eastAsia="en-US" w:bidi="ar-SA"/>
              </w:rPr>
              <w:t>Property</w:t>
            </w:r>
          </w:p>
        </w:tc>
        <w:tc>
          <w:tcPr>
            <w:tcW w:w="4648" w:type="dxa"/>
            <w:tcBorders/>
            <w:shd w:color="auto" w:fill="1F3A5F" w:val="clear"/>
          </w:tcPr>
          <w:p>
            <w:pPr>
              <w:pStyle w:val="Normal"/>
              <w:widowControl/>
              <w:spacing w:before="0" w:after="160"/>
              <w:jc w:val="center"/>
              <w:rPr>
                <w:rFonts w:eastAsia="ＭＳ 明朝" w:cs=""/>
                <w:kern w:val="0"/>
                <w:szCs w:val="22"/>
                <w:lang w:val="en-US" w:eastAsia="en-US" w:bidi="ar-SA"/>
              </w:rPr>
            </w:pPr>
            <w:r>
              <w:rPr>
                <w:rFonts w:eastAsia="ＭＳ 明朝" w:cs=""/>
                <w:b/>
                <w:color w:val="FFFFFF"/>
                <w:kern w:val="0"/>
                <w:sz w:val="19"/>
                <w:szCs w:val="22"/>
                <w:lang w:val="en-US" w:eastAsia="en-US" w:bidi="ar-SA"/>
              </w:rPr>
              <w:t>Value</w:t>
            </w:r>
          </w:p>
        </w:tc>
      </w:tr>
      <w:tr>
        <w:trPr/>
        <w:tc>
          <w:tcPr>
            <w:tcW w:w="4649"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Training references</w:t>
            </w:r>
          </w:p>
        </w:tc>
        <w:tc>
          <w:tcPr>
            <w:tcW w:w="4648"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20,000</w:t>
            </w:r>
          </w:p>
        </w:tc>
      </w:tr>
      <w:tr>
        <w:trPr/>
        <w:tc>
          <w:tcPr>
            <w:tcW w:w="4649"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Distinct sequences among them</w:t>
            </w:r>
          </w:p>
        </w:tc>
        <w:tc>
          <w:tcPr>
            <w:tcW w:w="4648"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9,492 (53% are exact duplicates)</w:t>
            </w:r>
          </w:p>
        </w:tc>
      </w:tr>
      <w:tr>
        <w:trPr/>
        <w:tc>
          <w:tcPr>
            <w:tcW w:w="4649"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Trainable parameters</w:t>
            </w:r>
          </w:p>
        </w:tc>
        <w:tc>
          <w:tcPr>
            <w:tcW w:w="4648"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37.8M of 117.1M (top 4 layers)</w:t>
            </w:r>
          </w:p>
        </w:tc>
      </w:tr>
      <w:tr>
        <w:trPr/>
        <w:tc>
          <w:tcPr>
            <w:tcW w:w="4649"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Steps</w:t>
            </w:r>
          </w:p>
        </w:tc>
        <w:tc>
          <w:tcPr>
            <w:tcW w:w="4648"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5,000 (2 epochs x 2,500)</w:t>
            </w:r>
          </w:p>
        </w:tc>
      </w:tr>
      <w:tr>
        <w:trPr/>
        <w:tc>
          <w:tcPr>
            <w:tcW w:w="4649"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Mean loss, epoch 1 → 2</w:t>
            </w:r>
          </w:p>
        </w:tc>
        <w:tc>
          <w:tcPr>
            <w:tcW w:w="4648"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0.1236 → 0.0417</w:t>
            </w:r>
          </w:p>
        </w:tc>
      </w:tr>
      <w:tr>
        <w:trPr/>
        <w:tc>
          <w:tcPr>
            <w:tcW w:w="4649"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Wall-clock time</w:t>
            </w:r>
          </w:p>
        </w:tc>
        <w:tc>
          <w:tcPr>
            <w:tcW w:w="4648"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110.7 minutes</w:t>
            </w:r>
          </w:p>
        </w:tc>
      </w:tr>
    </w:tbl>
    <w:p>
      <w:pPr>
        <w:pStyle w:val="Normal"/>
        <w:rPr/>
      </w:pPr>
      <w:r>
        <w:rPr/>
      </w:r>
    </w:p>
    <w:p>
      <w:pPr>
        <w:pStyle w:val="Heading2"/>
        <w:rPr/>
      </w:pPr>
      <w:r>
        <w:rPr/>
        <w:t>3.2 A caveat on the low loss</w:t>
      </w:r>
    </w:p>
    <w:p>
      <w:pPr>
        <w:pStyle w:val="Normal"/>
        <w:spacing w:before="0" w:after="160"/>
        <w:rPr/>
      </w:pPr>
      <w:r>
        <w:rPr>
          <w:b w:val="false"/>
          <w:i w:val="false"/>
          <w:color w:val="222222"/>
          <w:sz w:val="22"/>
        </w:rPr>
        <w:t>This run reached the lowest epoch-1 loss of any training run in the project (0.1236, against fish's 0.268 and bacteria's 0.746). That is not evidence of superior learning. 53% of the training references are exact duplicates, so a large share of training pairs are byte-identical and trivially easy for a contrastive objective to satisfy.</w:t>
      </w:r>
    </w:p>
    <w:p>
      <w:pPr>
        <w:pStyle w:val="Normal"/>
        <w:spacing w:before="0" w:after="160"/>
        <w:rPr/>
      </w:pPr>
      <w:r>
        <w:rPr>
          <w:b w:val="false"/>
          <w:i w:val="false"/>
          <w:color w:val="222222"/>
          <w:sz w:val="22"/>
        </w:rPr>
        <w:t>Part 12 documented precisely this trap: the original bacteria run's loss fell steadily while its retrieval performance collapsed, because collapsing coarse clusters is an easy way to reduce a contrastive loss without learning anything useful. Training loss is not a measure of task performance. The held-out metrics in Section 5 are.</w:t>
      </w:r>
    </w:p>
    <w:p>
      <w:pPr>
        <w:pStyle w:val="Normal"/>
        <w:rPr/>
      </w:pPr>
      <w:r>
        <w:rPr/>
      </w:r>
      <w:r>
        <w:br w:type="page"/>
      </w:r>
    </w:p>
    <w:p>
      <w:pPr>
        <w:pStyle w:val="Heading1"/>
        <w:rPr/>
      </w:pPr>
      <w:r>
        <w:rPr/>
        <w:t>4. How Precision, Recall and F1 Were Measured</w:t>
      </w:r>
    </w:p>
    <w:p>
      <w:pPr>
        <w:pStyle w:val="Normal"/>
        <w:spacing w:before="0" w:after="160"/>
        <w:rPr/>
      </w:pPr>
      <w:r>
        <w:rPr>
          <w:b w:val="false"/>
          <w:i w:val="false"/>
          <w:color w:val="222222"/>
          <w:sz w:val="22"/>
        </w:rPr>
        <w:t>Every earlier evaluation in this project reported Recall@K, which asks only whether the correct answer appeared somewhere in a top-K list. That is a retrieval metric. It says nothing about whether the pipeline actually committed to the right answer, or wrongly committed to a bad one. POC 6 scores the thing the pipeline actually outputs.</w:t>
      </w:r>
    </w:p>
    <w:p>
      <w:pPr>
        <w:pStyle w:val="Normal"/>
        <w:jc w:val="center"/>
        <w:rPr/>
      </w:pPr>
      <w:r>
        <w:rPr/>
        <w:drawing>
          <wp:inline distT="0" distB="0" distL="0" distR="0">
            <wp:extent cx="5852160" cy="344424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5852160" cy="3444240"/>
                    </a:xfrm>
                    <a:prstGeom prst="rect">
                      <a:avLst/>
                    </a:prstGeom>
                  </pic:spPr>
                </pic:pic>
              </a:graphicData>
            </a:graphic>
          </wp:inline>
        </w:drawing>
      </w:r>
    </w:p>
    <w:p>
      <w:pPr>
        <w:pStyle w:val="Normal"/>
        <w:jc w:val="center"/>
        <w:rPr/>
      </w:pPr>
      <w:r>
        <w:rPr>
          <w:i/>
          <w:color w:val="5A6472"/>
          <w:sz w:val="19"/>
        </w:rPr>
        <w:t>Figure 2. Scoring the pipeline's commit/abstain decision as a binary classifier.</w:t>
      </w:r>
    </w:p>
    <w:tbl>
      <w:tblPr>
        <w:tblStyle w:val="TableGrid"/>
        <w:tblW w:w="929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649"/>
        <w:gridCol w:w="4648"/>
      </w:tblGrid>
      <w:tr>
        <w:trPr>
          <w:tblHeader w:val="true"/>
        </w:trPr>
        <w:tc>
          <w:tcPr>
            <w:tcW w:w="4649" w:type="dxa"/>
            <w:tcBorders/>
            <w:shd w:color="auto" w:fill="1F3A5F" w:val="clear"/>
          </w:tcPr>
          <w:p>
            <w:pPr>
              <w:pStyle w:val="Normal"/>
              <w:widowControl/>
              <w:spacing w:before="0" w:after="160"/>
              <w:jc w:val="center"/>
              <w:rPr>
                <w:rFonts w:eastAsia="ＭＳ 明朝" w:cs=""/>
                <w:kern w:val="0"/>
                <w:szCs w:val="22"/>
                <w:lang w:val="en-US" w:eastAsia="en-US" w:bidi="ar-SA"/>
              </w:rPr>
            </w:pPr>
            <w:r>
              <w:rPr>
                <w:rFonts w:eastAsia="ＭＳ 明朝" w:cs=""/>
                <w:b/>
                <w:color w:val="FFFFFF"/>
                <w:kern w:val="0"/>
                <w:sz w:val="19"/>
                <w:szCs w:val="22"/>
                <w:lang w:val="en-US" w:eastAsia="en-US" w:bidi="ar-SA"/>
              </w:rPr>
              <w:t>Outcome</w:t>
            </w:r>
          </w:p>
        </w:tc>
        <w:tc>
          <w:tcPr>
            <w:tcW w:w="4648" w:type="dxa"/>
            <w:tcBorders/>
            <w:shd w:color="auto" w:fill="1F3A5F" w:val="clear"/>
          </w:tcPr>
          <w:p>
            <w:pPr>
              <w:pStyle w:val="Normal"/>
              <w:widowControl/>
              <w:spacing w:before="0" w:after="160"/>
              <w:jc w:val="center"/>
              <w:rPr>
                <w:rFonts w:eastAsia="ＭＳ 明朝" w:cs=""/>
                <w:kern w:val="0"/>
                <w:szCs w:val="22"/>
                <w:lang w:val="en-US" w:eastAsia="en-US" w:bidi="ar-SA"/>
              </w:rPr>
            </w:pPr>
            <w:r>
              <w:rPr>
                <w:rFonts w:eastAsia="ＭＳ 明朝" w:cs=""/>
                <w:b/>
                <w:color w:val="FFFFFF"/>
                <w:kern w:val="0"/>
                <w:sz w:val="19"/>
                <w:szCs w:val="22"/>
                <w:lang w:val="en-US" w:eastAsia="en-US" w:bidi="ar-SA"/>
              </w:rPr>
              <w:t>Definition</w:t>
            </w:r>
          </w:p>
        </w:tc>
      </w:tr>
      <w:tr>
        <w:trPr/>
        <w:tc>
          <w:tcPr>
            <w:tcW w:w="4649"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TP</w:t>
            </w:r>
          </w:p>
        </w:tc>
        <w:tc>
          <w:tcPr>
            <w:tcW w:w="4648"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Pipeline committed (≥95% identity) and the chosen reference really is a ≥95% match to the fragment's true source</w:t>
            </w:r>
          </w:p>
        </w:tc>
      </w:tr>
      <w:tr>
        <w:trPr/>
        <w:tc>
          <w:tcPr>
            <w:tcW w:w="4649"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FP</w:t>
            </w:r>
          </w:p>
        </w:tc>
        <w:tc>
          <w:tcPr>
            <w:tcW w:w="4648"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Pipeline committed, but the chosen reference is not a genuine match</w:t>
            </w:r>
          </w:p>
        </w:tc>
      </w:tr>
      <w:tr>
        <w:trPr/>
        <w:tc>
          <w:tcPr>
            <w:tcW w:w="4649"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FN</w:t>
            </w:r>
          </w:p>
        </w:tc>
        <w:tc>
          <w:tcPr>
            <w:tcW w:w="4648"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Pipeline abstained — best guess, low confidence, or unclassified</w:t>
            </w:r>
          </w:p>
        </w:tc>
      </w:tr>
      <w:tr>
        <w:trPr/>
        <w:tc>
          <w:tcPr>
            <w:tcW w:w="4649"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precision</w:t>
            </w:r>
          </w:p>
        </w:tc>
        <w:tc>
          <w:tcPr>
            <w:tcW w:w="4648"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TP / (TP + FP) — of the calls it made, how many were right</w:t>
            </w:r>
          </w:p>
        </w:tc>
      </w:tr>
      <w:tr>
        <w:trPr/>
        <w:tc>
          <w:tcPr>
            <w:tcW w:w="4649"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recall</w:t>
            </w:r>
          </w:p>
        </w:tc>
        <w:tc>
          <w:tcPr>
            <w:tcW w:w="4648"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TP / (TP + FN) — of all fragments, how many it got right</w:t>
            </w:r>
          </w:p>
        </w:tc>
      </w:tr>
      <w:tr>
        <w:trPr/>
        <w:tc>
          <w:tcPr>
            <w:tcW w:w="4649"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F1</w:t>
            </w:r>
          </w:p>
        </w:tc>
        <w:tc>
          <w:tcPr>
            <w:tcW w:w="4648"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harmonic mean of precision and recall</w:t>
            </w:r>
          </w:p>
        </w:tc>
      </w:tr>
    </w:tbl>
    <w:p>
      <w:pPr>
        <w:pStyle w:val="Normal"/>
        <w:rPr/>
      </w:pPr>
      <w:r>
        <w:rPr/>
      </w:r>
    </w:p>
    <w:p>
      <w:pPr>
        <w:pStyle w:val="Heading2"/>
        <w:rPr/>
      </w:pPr>
      <w:r>
        <w:rPr/>
        <w:t>4.1 Design decisions worth stating</w:t>
      </w:r>
    </w:p>
    <w:p>
      <w:pPr>
        <w:pStyle w:val="ListBullet"/>
        <w:numPr>
          <w:ilvl w:val="0"/>
          <w:numId w:val="1"/>
        </w:numPr>
        <w:spacing w:before="0" w:after="80"/>
        <w:contextualSpacing/>
        <w:rPr/>
      </w:pPr>
      <w:r>
        <w:rPr>
          <w:b/>
          <w:sz w:val="21"/>
        </w:rPr>
        <w:t xml:space="preserve">Nested test sets. </w:t>
      </w:r>
      <w:r>
        <w:rPr>
          <w:sz w:val="21"/>
        </w:rPr>
        <w:t>The 1,000 and 2,000 rows are the first 1,000 and 2,000 fragments of the same 5,000-fragment run, so the three sizes are directly comparable and cost one pass rather than three.</w:t>
      </w:r>
    </w:p>
    <w:p>
      <w:pPr>
        <w:pStyle w:val="ListBullet"/>
        <w:numPr>
          <w:ilvl w:val="0"/>
          <w:numId w:val="1"/>
        </w:numPr>
        <w:spacing w:before="0" w:after="80"/>
        <w:contextualSpacing/>
        <w:rPr/>
      </w:pPr>
      <w:r>
        <w:rPr>
          <w:b/>
          <w:sz w:val="21"/>
        </w:rPr>
        <w:t xml:space="preserve">Recall's denominator is all fragments. </w:t>
      </w:r>
      <w:r>
        <w:rPr>
          <w:sz w:val="21"/>
        </w:rPr>
        <w:t>Includes fragments whose true source has no ≥95% relative anywhere in the reference set. Those are genuinely unanswerable, so the reported recall is a floor, not a ceiling. Computing true findability would require aligning every fragment against every training reference — 5,000 x 20,000 for eukaryota.</w:t>
      </w:r>
    </w:p>
    <w:p>
      <w:pPr>
        <w:pStyle w:val="ListBullet"/>
        <w:numPr>
          <w:ilvl w:val="0"/>
          <w:numId w:val="1"/>
        </w:numPr>
        <w:spacing w:before="0" w:after="80"/>
        <w:contextualSpacing/>
        <w:rPr/>
      </w:pPr>
      <w:r>
        <w:rPr>
          <w:b/>
          <w:sz w:val="21"/>
        </w:rPr>
        <w:t xml:space="preserve">Identical ground truth. </w:t>
      </w:r>
      <w:r>
        <w:rPr>
          <w:sz w:val="21"/>
        </w:rPr>
        <w:t>Ground truth uses the same frozen Smith-Waterman ≥95% identity check used throughout the project, so results are comparable to every earlier part.</w:t>
      </w:r>
    </w:p>
    <w:p>
      <w:pPr>
        <w:pStyle w:val="Heading2"/>
        <w:rPr/>
      </w:pPr>
      <w:r>
        <w:rPr/>
        <w:t>4.2 Sample independence differs by kingdom</w:t>
      </w:r>
    </w:p>
    <w:p>
      <w:pPr>
        <w:pStyle w:val="Normal"/>
        <w:spacing w:before="0" w:after="160"/>
        <w:rPr/>
      </w:pPr>
      <w:r>
        <w:rPr>
          <w:b w:val="false"/>
          <w:i w:val="false"/>
          <w:color w:val="222222"/>
          <w:sz w:val="22"/>
        </w:rPr>
        <w:t>A fragment can only be cut from a held-out reference. Where a kingdom has fewer held-out references than requested fragments, multiple different random windows are cut from the same reference. Those fragments are not statistically independent.</w:t>
      </w:r>
    </w:p>
    <w:tbl>
      <w:tblPr>
        <w:tblStyle w:val="TableGrid"/>
        <w:tblW w:w="930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60"/>
        <w:gridCol w:w="1860"/>
        <w:gridCol w:w="1860"/>
        <w:gridCol w:w="1860"/>
        <w:gridCol w:w="1860"/>
      </w:tblGrid>
      <w:tr>
        <w:trPr>
          <w:tblHeader w:val="true"/>
        </w:trPr>
        <w:tc>
          <w:tcPr>
            <w:tcW w:w="1860" w:type="dxa"/>
            <w:tcBorders/>
            <w:shd w:color="auto" w:fill="1F3A5F" w:val="clear"/>
          </w:tcPr>
          <w:p>
            <w:pPr>
              <w:pStyle w:val="Normal"/>
              <w:widowControl/>
              <w:spacing w:before="0" w:after="160"/>
              <w:jc w:val="center"/>
              <w:rPr>
                <w:rFonts w:eastAsia="ＭＳ 明朝" w:cs=""/>
                <w:kern w:val="0"/>
                <w:szCs w:val="22"/>
                <w:lang w:val="en-US" w:eastAsia="en-US" w:bidi="ar-SA"/>
              </w:rPr>
            </w:pPr>
            <w:r>
              <w:rPr>
                <w:rFonts w:eastAsia="ＭＳ 明朝" w:cs=""/>
                <w:b/>
                <w:color w:val="FFFFFF"/>
                <w:kern w:val="0"/>
                <w:sz w:val="19"/>
                <w:szCs w:val="22"/>
                <w:lang w:val="en-US" w:eastAsia="en-US" w:bidi="ar-SA"/>
              </w:rPr>
              <w:t>Kingdom</w:t>
            </w:r>
          </w:p>
        </w:tc>
        <w:tc>
          <w:tcPr>
            <w:tcW w:w="1860" w:type="dxa"/>
            <w:tcBorders/>
            <w:shd w:color="auto" w:fill="1F3A5F" w:val="clear"/>
          </w:tcPr>
          <w:p>
            <w:pPr>
              <w:pStyle w:val="Normal"/>
              <w:widowControl/>
              <w:spacing w:before="0" w:after="160"/>
              <w:jc w:val="center"/>
              <w:rPr>
                <w:rFonts w:eastAsia="ＭＳ 明朝" w:cs=""/>
                <w:kern w:val="0"/>
                <w:szCs w:val="22"/>
                <w:lang w:val="en-US" w:eastAsia="en-US" w:bidi="ar-SA"/>
              </w:rPr>
            </w:pPr>
            <w:r>
              <w:rPr>
                <w:rFonts w:eastAsia="ＭＳ 明朝" w:cs=""/>
                <w:b/>
                <w:color w:val="FFFFFF"/>
                <w:kern w:val="0"/>
                <w:sz w:val="19"/>
                <w:szCs w:val="22"/>
                <w:lang w:val="en-US" w:eastAsia="en-US" w:bidi="ar-SA"/>
              </w:rPr>
              <w:t>Train refs</w:t>
            </w:r>
          </w:p>
        </w:tc>
        <w:tc>
          <w:tcPr>
            <w:tcW w:w="1860" w:type="dxa"/>
            <w:tcBorders/>
            <w:shd w:color="auto" w:fill="1F3A5F" w:val="clear"/>
          </w:tcPr>
          <w:p>
            <w:pPr>
              <w:pStyle w:val="Normal"/>
              <w:widowControl/>
              <w:spacing w:before="0" w:after="160"/>
              <w:jc w:val="center"/>
              <w:rPr>
                <w:rFonts w:eastAsia="ＭＳ 明朝" w:cs=""/>
                <w:kern w:val="0"/>
                <w:szCs w:val="22"/>
                <w:lang w:val="en-US" w:eastAsia="en-US" w:bidi="ar-SA"/>
              </w:rPr>
            </w:pPr>
            <w:r>
              <w:rPr>
                <w:rFonts w:eastAsia="ＭＳ 明朝" w:cs=""/>
                <w:b/>
                <w:color w:val="FFFFFF"/>
                <w:kern w:val="0"/>
                <w:sz w:val="19"/>
                <w:szCs w:val="22"/>
                <w:lang w:val="en-US" w:eastAsia="en-US" w:bidi="ar-SA"/>
              </w:rPr>
              <w:t>Held-out refs</w:t>
            </w:r>
          </w:p>
        </w:tc>
        <w:tc>
          <w:tcPr>
            <w:tcW w:w="1860" w:type="dxa"/>
            <w:tcBorders/>
            <w:shd w:color="auto" w:fill="1F3A5F" w:val="clear"/>
          </w:tcPr>
          <w:p>
            <w:pPr>
              <w:pStyle w:val="Normal"/>
              <w:widowControl/>
              <w:spacing w:before="0" w:after="160"/>
              <w:jc w:val="center"/>
              <w:rPr>
                <w:rFonts w:eastAsia="ＭＳ 明朝" w:cs=""/>
                <w:kern w:val="0"/>
                <w:szCs w:val="22"/>
                <w:lang w:val="en-US" w:eastAsia="en-US" w:bidi="ar-SA"/>
              </w:rPr>
            </w:pPr>
            <w:r>
              <w:rPr>
                <w:rFonts w:eastAsia="ＭＳ 明朝" w:cs=""/>
                <w:b/>
                <w:color w:val="FFFFFF"/>
                <w:kern w:val="0"/>
                <w:sz w:val="19"/>
                <w:szCs w:val="22"/>
                <w:lang w:val="en-US" w:eastAsia="en-US" w:bidi="ar-SA"/>
              </w:rPr>
              <w:t>Fragments</w:t>
            </w:r>
          </w:p>
        </w:tc>
        <w:tc>
          <w:tcPr>
            <w:tcW w:w="1860" w:type="dxa"/>
            <w:tcBorders/>
            <w:shd w:color="auto" w:fill="1F3A5F" w:val="clear"/>
          </w:tcPr>
          <w:p>
            <w:pPr>
              <w:pStyle w:val="Normal"/>
              <w:widowControl/>
              <w:spacing w:before="0" w:after="160"/>
              <w:jc w:val="center"/>
              <w:rPr>
                <w:rFonts w:eastAsia="ＭＳ 明朝" w:cs=""/>
                <w:kern w:val="0"/>
                <w:szCs w:val="22"/>
                <w:lang w:val="en-US" w:eastAsia="en-US" w:bidi="ar-SA"/>
              </w:rPr>
            </w:pPr>
            <w:r>
              <w:rPr>
                <w:rFonts w:eastAsia="ＭＳ 明朝" w:cs=""/>
                <w:b/>
                <w:color w:val="FFFFFF"/>
                <w:kern w:val="0"/>
                <w:sz w:val="19"/>
                <w:szCs w:val="22"/>
                <w:lang w:val="en-US" w:eastAsia="en-US" w:bidi="ar-SA"/>
              </w:rPr>
              <w:t>Fragments per reference</w:t>
            </w:r>
          </w:p>
        </w:tc>
      </w:tr>
      <w:tr>
        <w:trPr/>
        <w:tc>
          <w:tcPr>
            <w:tcW w:w="1860"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Bacteria</w:t>
            </w:r>
          </w:p>
        </w:tc>
        <w:tc>
          <w:tcPr>
            <w:tcW w:w="1860"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4,000</w:t>
            </w:r>
          </w:p>
        </w:tc>
        <w:tc>
          <w:tcPr>
            <w:tcW w:w="1860"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1,000</w:t>
            </w:r>
          </w:p>
        </w:tc>
        <w:tc>
          <w:tcPr>
            <w:tcW w:w="1860"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5,000</w:t>
            </w:r>
          </w:p>
        </w:tc>
        <w:tc>
          <w:tcPr>
            <w:tcW w:w="1860"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5.00</w:t>
            </w:r>
          </w:p>
        </w:tc>
      </w:tr>
      <w:tr>
        <w:trPr/>
        <w:tc>
          <w:tcPr>
            <w:tcW w:w="1860"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Fish</w:t>
            </w:r>
          </w:p>
        </w:tc>
        <w:tc>
          <w:tcPr>
            <w:tcW w:w="1860"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13,274</w:t>
            </w:r>
          </w:p>
        </w:tc>
        <w:tc>
          <w:tcPr>
            <w:tcW w:w="1860"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3,318</w:t>
            </w:r>
          </w:p>
        </w:tc>
        <w:tc>
          <w:tcPr>
            <w:tcW w:w="1860"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5,000</w:t>
            </w:r>
          </w:p>
        </w:tc>
        <w:tc>
          <w:tcPr>
            <w:tcW w:w="1860"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1.51</w:t>
            </w:r>
          </w:p>
        </w:tc>
      </w:tr>
      <w:tr>
        <w:trPr/>
        <w:tc>
          <w:tcPr>
            <w:tcW w:w="1860"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b/>
                <w:kern w:val="0"/>
                <w:sz w:val="19"/>
                <w:szCs w:val="22"/>
                <w:lang w:val="en-US" w:eastAsia="en-US" w:bidi="ar-SA"/>
              </w:rPr>
              <w:t>Eukaryota (large)</w:t>
            </w:r>
          </w:p>
        </w:tc>
        <w:tc>
          <w:tcPr>
            <w:tcW w:w="1860"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b/>
                <w:kern w:val="0"/>
                <w:sz w:val="19"/>
                <w:szCs w:val="22"/>
                <w:lang w:val="en-US" w:eastAsia="en-US" w:bidi="ar-SA"/>
              </w:rPr>
              <w:t>20,000</w:t>
            </w:r>
          </w:p>
        </w:tc>
        <w:tc>
          <w:tcPr>
            <w:tcW w:w="1860"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b/>
                <w:kern w:val="0"/>
                <w:sz w:val="19"/>
                <w:szCs w:val="22"/>
                <w:lang w:val="en-US" w:eastAsia="en-US" w:bidi="ar-SA"/>
              </w:rPr>
              <w:t>5,000</w:t>
            </w:r>
          </w:p>
        </w:tc>
        <w:tc>
          <w:tcPr>
            <w:tcW w:w="1860"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b/>
                <w:kern w:val="0"/>
                <w:sz w:val="19"/>
                <w:szCs w:val="22"/>
                <w:lang w:val="en-US" w:eastAsia="en-US" w:bidi="ar-SA"/>
              </w:rPr>
              <w:t>5,000</w:t>
            </w:r>
          </w:p>
        </w:tc>
        <w:tc>
          <w:tcPr>
            <w:tcW w:w="1860"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b/>
                <w:kern w:val="0"/>
                <w:sz w:val="19"/>
                <w:szCs w:val="22"/>
                <w:lang w:val="en-US" w:eastAsia="en-US" w:bidi="ar-SA"/>
              </w:rPr>
              <w:t>1.00 — fully independent</w:t>
            </w:r>
          </w:p>
        </w:tc>
      </w:tr>
    </w:tbl>
    <w:p>
      <w:pPr>
        <w:pStyle w:val="Normal"/>
        <w:rPr/>
      </w:pPr>
      <w:r>
        <w:rPr/>
      </w:r>
    </w:p>
    <w:p>
      <w:pPr>
        <w:pStyle w:val="Normal"/>
        <w:spacing w:before="0" w:after="160"/>
        <w:rPr/>
      </w:pPr>
      <w:r>
        <w:rPr>
          <w:b w:val="false"/>
          <w:i/>
          <w:color w:val="5A6472"/>
          <w:sz w:val="20"/>
        </w:rPr>
        <w:t>Eukaryota_large exists precisely so at least one kingdom needs no re-sampling. Its results carry the most statistical weight of the three.</w:t>
      </w:r>
    </w:p>
    <w:p>
      <w:pPr>
        <w:pStyle w:val="Normal"/>
        <w:rPr/>
      </w:pPr>
      <w:r>
        <w:rPr/>
      </w:r>
      <w:r>
        <w:br w:type="page"/>
      </w:r>
    </w:p>
    <w:p>
      <w:pPr>
        <w:pStyle w:val="Heading1"/>
        <w:rPr/>
      </w:pPr>
      <w:r>
        <w:rPr/>
        <w:t>5. Results</w:t>
      </w:r>
    </w:p>
    <w:p>
      <w:pPr>
        <w:pStyle w:val="Heading2"/>
        <w:rPr/>
      </w:pPr>
      <w:r>
        <w:rPr/>
        <w:t>5.1 Bacteria / Archaea</w:t>
      </w:r>
    </w:p>
    <w:tbl>
      <w:tblPr>
        <w:tblStyle w:val="TableGrid"/>
        <w:tblW w:w="929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162"/>
        <w:gridCol w:w="1162"/>
        <w:gridCol w:w="1162"/>
        <w:gridCol w:w="1162"/>
        <w:gridCol w:w="1162"/>
        <w:gridCol w:w="1162"/>
        <w:gridCol w:w="1162"/>
        <w:gridCol w:w="1162"/>
      </w:tblGrid>
      <w:tr>
        <w:trPr>
          <w:tblHeader w:val="true"/>
        </w:trPr>
        <w:tc>
          <w:tcPr>
            <w:tcW w:w="1162" w:type="dxa"/>
            <w:tcBorders/>
            <w:shd w:color="auto" w:fill="1F3A5F" w:val="clear"/>
          </w:tcPr>
          <w:p>
            <w:pPr>
              <w:pStyle w:val="Normal"/>
              <w:widowControl/>
              <w:spacing w:before="0" w:after="160"/>
              <w:jc w:val="center"/>
              <w:rPr>
                <w:rFonts w:eastAsia="ＭＳ 明朝" w:cs=""/>
                <w:kern w:val="0"/>
                <w:szCs w:val="22"/>
                <w:lang w:val="en-US" w:eastAsia="en-US" w:bidi="ar-SA"/>
              </w:rPr>
            </w:pPr>
            <w:r>
              <w:rPr>
                <w:rFonts w:eastAsia="ＭＳ 明朝" w:cs=""/>
                <w:b/>
                <w:color w:val="FFFFFF"/>
                <w:kern w:val="0"/>
                <w:sz w:val="19"/>
                <w:szCs w:val="22"/>
                <w:lang w:val="en-US" w:eastAsia="en-US" w:bidi="ar-SA"/>
              </w:rPr>
              <w:t>n</w:t>
            </w:r>
          </w:p>
        </w:tc>
        <w:tc>
          <w:tcPr>
            <w:tcW w:w="1162" w:type="dxa"/>
            <w:tcBorders/>
            <w:shd w:color="auto" w:fill="1F3A5F" w:val="clear"/>
          </w:tcPr>
          <w:p>
            <w:pPr>
              <w:pStyle w:val="Normal"/>
              <w:widowControl/>
              <w:spacing w:before="0" w:after="160"/>
              <w:jc w:val="center"/>
              <w:rPr>
                <w:rFonts w:eastAsia="ＭＳ 明朝" w:cs=""/>
                <w:kern w:val="0"/>
                <w:szCs w:val="22"/>
                <w:lang w:val="en-US" w:eastAsia="en-US" w:bidi="ar-SA"/>
              </w:rPr>
            </w:pPr>
            <w:r>
              <w:rPr>
                <w:rFonts w:eastAsia="ＭＳ 明朝" w:cs=""/>
                <w:b/>
                <w:color w:val="FFFFFF"/>
                <w:kern w:val="0"/>
                <w:sz w:val="19"/>
                <w:szCs w:val="22"/>
                <w:lang w:val="en-US" w:eastAsia="en-US" w:bidi="ar-SA"/>
              </w:rPr>
              <w:t>Arm</w:t>
            </w:r>
          </w:p>
        </w:tc>
        <w:tc>
          <w:tcPr>
            <w:tcW w:w="1162" w:type="dxa"/>
            <w:tcBorders/>
            <w:shd w:color="auto" w:fill="1F3A5F" w:val="clear"/>
          </w:tcPr>
          <w:p>
            <w:pPr>
              <w:pStyle w:val="Normal"/>
              <w:widowControl/>
              <w:spacing w:before="0" w:after="160"/>
              <w:jc w:val="center"/>
              <w:rPr>
                <w:rFonts w:eastAsia="ＭＳ 明朝" w:cs=""/>
                <w:kern w:val="0"/>
                <w:szCs w:val="22"/>
                <w:lang w:val="en-US" w:eastAsia="en-US" w:bidi="ar-SA"/>
              </w:rPr>
            </w:pPr>
            <w:r>
              <w:rPr>
                <w:rFonts w:eastAsia="ＭＳ 明朝" w:cs=""/>
                <w:b/>
                <w:color w:val="FFFFFF"/>
                <w:kern w:val="0"/>
                <w:sz w:val="19"/>
                <w:szCs w:val="22"/>
                <w:lang w:val="en-US" w:eastAsia="en-US" w:bidi="ar-SA"/>
              </w:rPr>
              <w:t>Precision</w:t>
            </w:r>
          </w:p>
        </w:tc>
        <w:tc>
          <w:tcPr>
            <w:tcW w:w="1162" w:type="dxa"/>
            <w:tcBorders/>
            <w:shd w:color="auto" w:fill="1F3A5F" w:val="clear"/>
          </w:tcPr>
          <w:p>
            <w:pPr>
              <w:pStyle w:val="Normal"/>
              <w:widowControl/>
              <w:spacing w:before="0" w:after="160"/>
              <w:jc w:val="center"/>
              <w:rPr>
                <w:rFonts w:eastAsia="ＭＳ 明朝" w:cs=""/>
                <w:kern w:val="0"/>
                <w:szCs w:val="22"/>
                <w:lang w:val="en-US" w:eastAsia="en-US" w:bidi="ar-SA"/>
              </w:rPr>
            </w:pPr>
            <w:r>
              <w:rPr>
                <w:rFonts w:eastAsia="ＭＳ 明朝" w:cs=""/>
                <w:b/>
                <w:color w:val="FFFFFF"/>
                <w:kern w:val="0"/>
                <w:sz w:val="19"/>
                <w:szCs w:val="22"/>
                <w:lang w:val="en-US" w:eastAsia="en-US" w:bidi="ar-SA"/>
              </w:rPr>
              <w:t>Recall</w:t>
            </w:r>
          </w:p>
        </w:tc>
        <w:tc>
          <w:tcPr>
            <w:tcW w:w="1162" w:type="dxa"/>
            <w:tcBorders/>
            <w:shd w:color="auto" w:fill="1F3A5F" w:val="clear"/>
          </w:tcPr>
          <w:p>
            <w:pPr>
              <w:pStyle w:val="Normal"/>
              <w:widowControl/>
              <w:spacing w:before="0" w:after="160"/>
              <w:jc w:val="center"/>
              <w:rPr>
                <w:rFonts w:eastAsia="ＭＳ 明朝" w:cs=""/>
                <w:kern w:val="0"/>
                <w:szCs w:val="22"/>
                <w:lang w:val="en-US" w:eastAsia="en-US" w:bidi="ar-SA"/>
              </w:rPr>
            </w:pPr>
            <w:r>
              <w:rPr>
                <w:rFonts w:eastAsia="ＭＳ 明朝" w:cs=""/>
                <w:b/>
                <w:color w:val="FFFFFF"/>
                <w:kern w:val="0"/>
                <w:sz w:val="19"/>
                <w:szCs w:val="22"/>
                <w:lang w:val="en-US" w:eastAsia="en-US" w:bidi="ar-SA"/>
              </w:rPr>
              <w:t>F1</w:t>
            </w:r>
          </w:p>
        </w:tc>
        <w:tc>
          <w:tcPr>
            <w:tcW w:w="1162" w:type="dxa"/>
            <w:tcBorders/>
            <w:shd w:color="auto" w:fill="1F3A5F" w:val="clear"/>
          </w:tcPr>
          <w:p>
            <w:pPr>
              <w:pStyle w:val="Normal"/>
              <w:widowControl/>
              <w:spacing w:before="0" w:after="160"/>
              <w:jc w:val="center"/>
              <w:rPr>
                <w:rFonts w:eastAsia="ＭＳ 明朝" w:cs=""/>
                <w:kern w:val="0"/>
                <w:szCs w:val="22"/>
                <w:lang w:val="en-US" w:eastAsia="en-US" w:bidi="ar-SA"/>
              </w:rPr>
            </w:pPr>
            <w:r>
              <w:rPr>
                <w:rFonts w:eastAsia="ＭＳ 明朝" w:cs=""/>
                <w:b/>
                <w:color w:val="FFFFFF"/>
                <w:kern w:val="0"/>
                <w:sz w:val="19"/>
                <w:szCs w:val="22"/>
                <w:lang w:val="en-US" w:eastAsia="en-US" w:bidi="ar-SA"/>
              </w:rPr>
              <w:t>TP</w:t>
            </w:r>
          </w:p>
        </w:tc>
        <w:tc>
          <w:tcPr>
            <w:tcW w:w="1162" w:type="dxa"/>
            <w:tcBorders/>
            <w:shd w:color="auto" w:fill="1F3A5F" w:val="clear"/>
          </w:tcPr>
          <w:p>
            <w:pPr>
              <w:pStyle w:val="Normal"/>
              <w:widowControl/>
              <w:spacing w:before="0" w:after="160"/>
              <w:jc w:val="center"/>
              <w:rPr>
                <w:rFonts w:eastAsia="ＭＳ 明朝" w:cs=""/>
                <w:kern w:val="0"/>
                <w:szCs w:val="22"/>
                <w:lang w:val="en-US" w:eastAsia="en-US" w:bidi="ar-SA"/>
              </w:rPr>
            </w:pPr>
            <w:r>
              <w:rPr>
                <w:rFonts w:eastAsia="ＭＳ 明朝" w:cs=""/>
                <w:b/>
                <w:color w:val="FFFFFF"/>
                <w:kern w:val="0"/>
                <w:sz w:val="19"/>
                <w:szCs w:val="22"/>
                <w:lang w:val="en-US" w:eastAsia="en-US" w:bidi="ar-SA"/>
              </w:rPr>
              <w:t>FP</w:t>
            </w:r>
          </w:p>
        </w:tc>
        <w:tc>
          <w:tcPr>
            <w:tcW w:w="1162" w:type="dxa"/>
            <w:tcBorders/>
            <w:shd w:color="auto" w:fill="1F3A5F" w:val="clear"/>
          </w:tcPr>
          <w:p>
            <w:pPr>
              <w:pStyle w:val="Normal"/>
              <w:widowControl/>
              <w:spacing w:before="0" w:after="160"/>
              <w:jc w:val="center"/>
              <w:rPr>
                <w:rFonts w:eastAsia="ＭＳ 明朝" w:cs=""/>
                <w:kern w:val="0"/>
                <w:szCs w:val="22"/>
                <w:lang w:val="en-US" w:eastAsia="en-US" w:bidi="ar-SA"/>
              </w:rPr>
            </w:pPr>
            <w:r>
              <w:rPr>
                <w:rFonts w:eastAsia="ＭＳ 明朝" w:cs=""/>
                <w:b/>
                <w:color w:val="FFFFFF"/>
                <w:kern w:val="0"/>
                <w:sz w:val="19"/>
                <w:szCs w:val="22"/>
                <w:lang w:val="en-US" w:eastAsia="en-US" w:bidi="ar-SA"/>
              </w:rPr>
              <w:t>FN</w:t>
            </w:r>
          </w:p>
        </w:tc>
      </w:tr>
      <w:tr>
        <w:trPr/>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1,000</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frozen</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0.8989</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0.8575</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0.8777</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782</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88</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130</w:t>
            </w:r>
          </w:p>
        </w:tc>
      </w:tr>
      <w:tr>
        <w:trPr/>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1,000</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fine-tuned</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0.9011</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0.8578</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0.8789</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784</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86</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130</w:t>
            </w:r>
          </w:p>
        </w:tc>
      </w:tr>
      <w:tr>
        <w:trPr/>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2,000</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frozen</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0.9107</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0.8505</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0.8796</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1,570</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154</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276</w:t>
            </w:r>
          </w:p>
        </w:tc>
      </w:tr>
      <w:tr>
        <w:trPr/>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2,000</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fine-tuned</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0.9124</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0.8507</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0.8805</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1,573</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151</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276</w:t>
            </w:r>
          </w:p>
        </w:tc>
      </w:tr>
      <w:tr>
        <w:trPr/>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5,000</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frozen</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0.9119</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0.8513</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0.8806</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3,933</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380</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687</w:t>
            </w:r>
          </w:p>
        </w:tc>
      </w:tr>
      <w:tr>
        <w:trPr/>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5,000</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fine-tuned</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0.9120</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0.8519</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0.8809</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3,936</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380</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684</w:t>
            </w:r>
          </w:p>
        </w:tc>
      </w:tr>
    </w:tbl>
    <w:p>
      <w:pPr>
        <w:pStyle w:val="Normal"/>
        <w:rPr/>
      </w:pPr>
      <w:r>
        <w:rPr/>
      </w:r>
    </w:p>
    <w:p>
      <w:pPr>
        <w:pStyle w:val="Normal"/>
        <w:spacing w:before="0" w:after="160"/>
        <w:rPr/>
      </w:pPr>
      <w:r>
        <w:rPr>
          <w:b w:val="false"/>
          <w:i/>
          <w:color w:val="5A6472"/>
          <w:sz w:val="20"/>
        </w:rPr>
        <w:t>Fine-tuning gains +3 correct calls out of 5,000 (F1 +0.0003).</w:t>
      </w:r>
    </w:p>
    <w:p>
      <w:pPr>
        <w:pStyle w:val="Heading2"/>
        <w:rPr/>
      </w:pPr>
      <w:r>
        <w:rPr/>
        <w:t>5.2 Fish</w:t>
      </w:r>
    </w:p>
    <w:tbl>
      <w:tblPr>
        <w:tblStyle w:val="TableGrid"/>
        <w:tblW w:w="929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162"/>
        <w:gridCol w:w="1162"/>
        <w:gridCol w:w="1162"/>
        <w:gridCol w:w="1162"/>
        <w:gridCol w:w="1162"/>
        <w:gridCol w:w="1162"/>
        <w:gridCol w:w="1162"/>
        <w:gridCol w:w="1162"/>
      </w:tblGrid>
      <w:tr>
        <w:trPr>
          <w:tblHeader w:val="true"/>
        </w:trPr>
        <w:tc>
          <w:tcPr>
            <w:tcW w:w="1162" w:type="dxa"/>
            <w:tcBorders/>
            <w:shd w:color="auto" w:fill="1F3A5F" w:val="clear"/>
          </w:tcPr>
          <w:p>
            <w:pPr>
              <w:pStyle w:val="Normal"/>
              <w:widowControl/>
              <w:spacing w:before="0" w:after="160"/>
              <w:jc w:val="center"/>
              <w:rPr>
                <w:rFonts w:eastAsia="ＭＳ 明朝" w:cs=""/>
                <w:kern w:val="0"/>
                <w:szCs w:val="22"/>
                <w:lang w:val="en-US" w:eastAsia="en-US" w:bidi="ar-SA"/>
              </w:rPr>
            </w:pPr>
            <w:r>
              <w:rPr>
                <w:rFonts w:eastAsia="ＭＳ 明朝" w:cs=""/>
                <w:b/>
                <w:color w:val="FFFFFF"/>
                <w:kern w:val="0"/>
                <w:sz w:val="19"/>
                <w:szCs w:val="22"/>
                <w:lang w:val="en-US" w:eastAsia="en-US" w:bidi="ar-SA"/>
              </w:rPr>
              <w:t>n</w:t>
            </w:r>
          </w:p>
        </w:tc>
        <w:tc>
          <w:tcPr>
            <w:tcW w:w="1162" w:type="dxa"/>
            <w:tcBorders/>
            <w:shd w:color="auto" w:fill="1F3A5F" w:val="clear"/>
          </w:tcPr>
          <w:p>
            <w:pPr>
              <w:pStyle w:val="Normal"/>
              <w:widowControl/>
              <w:spacing w:before="0" w:after="160"/>
              <w:jc w:val="center"/>
              <w:rPr>
                <w:rFonts w:eastAsia="ＭＳ 明朝" w:cs=""/>
                <w:kern w:val="0"/>
                <w:szCs w:val="22"/>
                <w:lang w:val="en-US" w:eastAsia="en-US" w:bidi="ar-SA"/>
              </w:rPr>
            </w:pPr>
            <w:r>
              <w:rPr>
                <w:rFonts w:eastAsia="ＭＳ 明朝" w:cs=""/>
                <w:b/>
                <w:color w:val="FFFFFF"/>
                <w:kern w:val="0"/>
                <w:sz w:val="19"/>
                <w:szCs w:val="22"/>
                <w:lang w:val="en-US" w:eastAsia="en-US" w:bidi="ar-SA"/>
              </w:rPr>
              <w:t>Arm</w:t>
            </w:r>
          </w:p>
        </w:tc>
        <w:tc>
          <w:tcPr>
            <w:tcW w:w="1162" w:type="dxa"/>
            <w:tcBorders/>
            <w:shd w:color="auto" w:fill="1F3A5F" w:val="clear"/>
          </w:tcPr>
          <w:p>
            <w:pPr>
              <w:pStyle w:val="Normal"/>
              <w:widowControl/>
              <w:spacing w:before="0" w:after="160"/>
              <w:jc w:val="center"/>
              <w:rPr>
                <w:rFonts w:eastAsia="ＭＳ 明朝" w:cs=""/>
                <w:kern w:val="0"/>
                <w:szCs w:val="22"/>
                <w:lang w:val="en-US" w:eastAsia="en-US" w:bidi="ar-SA"/>
              </w:rPr>
            </w:pPr>
            <w:r>
              <w:rPr>
                <w:rFonts w:eastAsia="ＭＳ 明朝" w:cs=""/>
                <w:b/>
                <w:color w:val="FFFFFF"/>
                <w:kern w:val="0"/>
                <w:sz w:val="19"/>
                <w:szCs w:val="22"/>
                <w:lang w:val="en-US" w:eastAsia="en-US" w:bidi="ar-SA"/>
              </w:rPr>
              <w:t>Precision</w:t>
            </w:r>
          </w:p>
        </w:tc>
        <w:tc>
          <w:tcPr>
            <w:tcW w:w="1162" w:type="dxa"/>
            <w:tcBorders/>
            <w:shd w:color="auto" w:fill="1F3A5F" w:val="clear"/>
          </w:tcPr>
          <w:p>
            <w:pPr>
              <w:pStyle w:val="Normal"/>
              <w:widowControl/>
              <w:spacing w:before="0" w:after="160"/>
              <w:jc w:val="center"/>
              <w:rPr>
                <w:rFonts w:eastAsia="ＭＳ 明朝" w:cs=""/>
                <w:kern w:val="0"/>
                <w:szCs w:val="22"/>
                <w:lang w:val="en-US" w:eastAsia="en-US" w:bidi="ar-SA"/>
              </w:rPr>
            </w:pPr>
            <w:r>
              <w:rPr>
                <w:rFonts w:eastAsia="ＭＳ 明朝" w:cs=""/>
                <w:b/>
                <w:color w:val="FFFFFF"/>
                <w:kern w:val="0"/>
                <w:sz w:val="19"/>
                <w:szCs w:val="22"/>
                <w:lang w:val="en-US" w:eastAsia="en-US" w:bidi="ar-SA"/>
              </w:rPr>
              <w:t>Recall</w:t>
            </w:r>
          </w:p>
        </w:tc>
        <w:tc>
          <w:tcPr>
            <w:tcW w:w="1162" w:type="dxa"/>
            <w:tcBorders/>
            <w:shd w:color="auto" w:fill="1F3A5F" w:val="clear"/>
          </w:tcPr>
          <w:p>
            <w:pPr>
              <w:pStyle w:val="Normal"/>
              <w:widowControl/>
              <w:spacing w:before="0" w:after="160"/>
              <w:jc w:val="center"/>
              <w:rPr>
                <w:rFonts w:eastAsia="ＭＳ 明朝" w:cs=""/>
                <w:kern w:val="0"/>
                <w:szCs w:val="22"/>
                <w:lang w:val="en-US" w:eastAsia="en-US" w:bidi="ar-SA"/>
              </w:rPr>
            </w:pPr>
            <w:r>
              <w:rPr>
                <w:rFonts w:eastAsia="ＭＳ 明朝" w:cs=""/>
                <w:b/>
                <w:color w:val="FFFFFF"/>
                <w:kern w:val="0"/>
                <w:sz w:val="19"/>
                <w:szCs w:val="22"/>
                <w:lang w:val="en-US" w:eastAsia="en-US" w:bidi="ar-SA"/>
              </w:rPr>
              <w:t>F1</w:t>
            </w:r>
          </w:p>
        </w:tc>
        <w:tc>
          <w:tcPr>
            <w:tcW w:w="1162" w:type="dxa"/>
            <w:tcBorders/>
            <w:shd w:color="auto" w:fill="1F3A5F" w:val="clear"/>
          </w:tcPr>
          <w:p>
            <w:pPr>
              <w:pStyle w:val="Normal"/>
              <w:widowControl/>
              <w:spacing w:before="0" w:after="160"/>
              <w:jc w:val="center"/>
              <w:rPr>
                <w:rFonts w:eastAsia="ＭＳ 明朝" w:cs=""/>
                <w:kern w:val="0"/>
                <w:szCs w:val="22"/>
                <w:lang w:val="en-US" w:eastAsia="en-US" w:bidi="ar-SA"/>
              </w:rPr>
            </w:pPr>
            <w:r>
              <w:rPr>
                <w:rFonts w:eastAsia="ＭＳ 明朝" w:cs=""/>
                <w:b/>
                <w:color w:val="FFFFFF"/>
                <w:kern w:val="0"/>
                <w:sz w:val="19"/>
                <w:szCs w:val="22"/>
                <w:lang w:val="en-US" w:eastAsia="en-US" w:bidi="ar-SA"/>
              </w:rPr>
              <w:t>TP</w:t>
            </w:r>
          </w:p>
        </w:tc>
        <w:tc>
          <w:tcPr>
            <w:tcW w:w="1162" w:type="dxa"/>
            <w:tcBorders/>
            <w:shd w:color="auto" w:fill="1F3A5F" w:val="clear"/>
          </w:tcPr>
          <w:p>
            <w:pPr>
              <w:pStyle w:val="Normal"/>
              <w:widowControl/>
              <w:spacing w:before="0" w:after="160"/>
              <w:jc w:val="center"/>
              <w:rPr>
                <w:rFonts w:eastAsia="ＭＳ 明朝" w:cs=""/>
                <w:kern w:val="0"/>
                <w:szCs w:val="22"/>
                <w:lang w:val="en-US" w:eastAsia="en-US" w:bidi="ar-SA"/>
              </w:rPr>
            </w:pPr>
            <w:r>
              <w:rPr>
                <w:rFonts w:eastAsia="ＭＳ 明朝" w:cs=""/>
                <w:b/>
                <w:color w:val="FFFFFF"/>
                <w:kern w:val="0"/>
                <w:sz w:val="19"/>
                <w:szCs w:val="22"/>
                <w:lang w:val="en-US" w:eastAsia="en-US" w:bidi="ar-SA"/>
              </w:rPr>
              <w:t>FP</w:t>
            </w:r>
          </w:p>
        </w:tc>
        <w:tc>
          <w:tcPr>
            <w:tcW w:w="1162" w:type="dxa"/>
            <w:tcBorders/>
            <w:shd w:color="auto" w:fill="1F3A5F" w:val="clear"/>
          </w:tcPr>
          <w:p>
            <w:pPr>
              <w:pStyle w:val="Normal"/>
              <w:widowControl/>
              <w:spacing w:before="0" w:after="160"/>
              <w:jc w:val="center"/>
              <w:rPr>
                <w:rFonts w:eastAsia="ＭＳ 明朝" w:cs=""/>
                <w:kern w:val="0"/>
                <w:szCs w:val="22"/>
                <w:lang w:val="en-US" w:eastAsia="en-US" w:bidi="ar-SA"/>
              </w:rPr>
            </w:pPr>
            <w:r>
              <w:rPr>
                <w:rFonts w:eastAsia="ＭＳ 明朝" w:cs=""/>
                <w:b/>
                <w:color w:val="FFFFFF"/>
                <w:kern w:val="0"/>
                <w:sz w:val="19"/>
                <w:szCs w:val="22"/>
                <w:lang w:val="en-US" w:eastAsia="en-US" w:bidi="ar-SA"/>
              </w:rPr>
              <w:t>FN</w:t>
            </w:r>
          </w:p>
        </w:tc>
      </w:tr>
      <w:tr>
        <w:trPr/>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1,000</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frozen</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0.9873</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0.9474</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0.9669</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936</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12</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52</w:t>
            </w:r>
          </w:p>
        </w:tc>
      </w:tr>
      <w:tr>
        <w:trPr/>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1,000</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fine-tuned</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0.9873</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0.9474</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0.9669</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936</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12</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52</w:t>
            </w:r>
          </w:p>
        </w:tc>
      </w:tr>
      <w:tr>
        <w:trPr/>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2,000</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frozen</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0.9832</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0.9507</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0.9667</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1,871</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32</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97</w:t>
            </w:r>
          </w:p>
        </w:tc>
      </w:tr>
      <w:tr>
        <w:trPr/>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2,000</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fine-tuned</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0.9827</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0.9507</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0.9664</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1,870</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33</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97</w:t>
            </w:r>
          </w:p>
        </w:tc>
      </w:tr>
      <w:tr>
        <w:trPr/>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5,000</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frozen</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0.9842</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0.9501</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0.9668</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4,679</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75</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246</w:t>
            </w:r>
          </w:p>
        </w:tc>
      </w:tr>
      <w:tr>
        <w:trPr/>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5,000</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fine-tuned</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0.9840</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0.9500</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0.9667</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4,678</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76</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246</w:t>
            </w:r>
          </w:p>
        </w:tc>
      </w:tr>
    </w:tbl>
    <w:p>
      <w:pPr>
        <w:pStyle w:val="Normal"/>
        <w:rPr/>
      </w:pPr>
      <w:r>
        <w:rPr/>
      </w:r>
    </w:p>
    <w:p>
      <w:pPr>
        <w:pStyle w:val="Normal"/>
        <w:spacing w:before="0" w:after="160"/>
        <w:rPr/>
      </w:pPr>
      <w:r>
        <w:rPr>
          <w:b w:val="false"/>
          <w:i/>
          <w:color w:val="5A6472"/>
          <w:sz w:val="20"/>
        </w:rPr>
        <w:t>Identical at n=1,000; fine-tuning is one correct call WORSE at n=2,000 and n=5,000.</w:t>
      </w:r>
    </w:p>
    <w:p>
      <w:pPr>
        <w:pStyle w:val="Heading2"/>
        <w:rPr/>
      </w:pPr>
      <w:r>
        <w:rPr/>
        <w:t>5.3 Eukaryota (large set — fully independent samples)</w:t>
      </w:r>
    </w:p>
    <w:tbl>
      <w:tblPr>
        <w:tblStyle w:val="TableGrid"/>
        <w:tblW w:w="929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162"/>
        <w:gridCol w:w="1162"/>
        <w:gridCol w:w="1162"/>
        <w:gridCol w:w="1162"/>
        <w:gridCol w:w="1162"/>
        <w:gridCol w:w="1162"/>
        <w:gridCol w:w="1162"/>
        <w:gridCol w:w="1162"/>
      </w:tblGrid>
      <w:tr>
        <w:trPr>
          <w:tblHeader w:val="true"/>
        </w:trPr>
        <w:tc>
          <w:tcPr>
            <w:tcW w:w="1162" w:type="dxa"/>
            <w:tcBorders/>
            <w:shd w:color="auto" w:fill="1F3A5F" w:val="clear"/>
          </w:tcPr>
          <w:p>
            <w:pPr>
              <w:pStyle w:val="Normal"/>
              <w:widowControl/>
              <w:spacing w:before="0" w:after="160"/>
              <w:jc w:val="center"/>
              <w:rPr>
                <w:rFonts w:eastAsia="ＭＳ 明朝" w:cs=""/>
                <w:kern w:val="0"/>
                <w:szCs w:val="22"/>
                <w:lang w:val="en-US" w:eastAsia="en-US" w:bidi="ar-SA"/>
              </w:rPr>
            </w:pPr>
            <w:r>
              <w:rPr>
                <w:rFonts w:eastAsia="ＭＳ 明朝" w:cs=""/>
                <w:b/>
                <w:color w:val="FFFFFF"/>
                <w:kern w:val="0"/>
                <w:sz w:val="19"/>
                <w:szCs w:val="22"/>
                <w:lang w:val="en-US" w:eastAsia="en-US" w:bidi="ar-SA"/>
              </w:rPr>
              <w:t>n</w:t>
            </w:r>
          </w:p>
        </w:tc>
        <w:tc>
          <w:tcPr>
            <w:tcW w:w="1162" w:type="dxa"/>
            <w:tcBorders/>
            <w:shd w:color="auto" w:fill="1F3A5F" w:val="clear"/>
          </w:tcPr>
          <w:p>
            <w:pPr>
              <w:pStyle w:val="Normal"/>
              <w:widowControl/>
              <w:spacing w:before="0" w:after="160"/>
              <w:jc w:val="center"/>
              <w:rPr>
                <w:rFonts w:eastAsia="ＭＳ 明朝" w:cs=""/>
                <w:kern w:val="0"/>
                <w:szCs w:val="22"/>
                <w:lang w:val="en-US" w:eastAsia="en-US" w:bidi="ar-SA"/>
              </w:rPr>
            </w:pPr>
            <w:r>
              <w:rPr>
                <w:rFonts w:eastAsia="ＭＳ 明朝" w:cs=""/>
                <w:b/>
                <w:color w:val="FFFFFF"/>
                <w:kern w:val="0"/>
                <w:sz w:val="19"/>
                <w:szCs w:val="22"/>
                <w:lang w:val="en-US" w:eastAsia="en-US" w:bidi="ar-SA"/>
              </w:rPr>
              <w:t>Arm</w:t>
            </w:r>
          </w:p>
        </w:tc>
        <w:tc>
          <w:tcPr>
            <w:tcW w:w="1162" w:type="dxa"/>
            <w:tcBorders/>
            <w:shd w:color="auto" w:fill="1F3A5F" w:val="clear"/>
          </w:tcPr>
          <w:p>
            <w:pPr>
              <w:pStyle w:val="Normal"/>
              <w:widowControl/>
              <w:spacing w:before="0" w:after="160"/>
              <w:jc w:val="center"/>
              <w:rPr>
                <w:rFonts w:eastAsia="ＭＳ 明朝" w:cs=""/>
                <w:kern w:val="0"/>
                <w:szCs w:val="22"/>
                <w:lang w:val="en-US" w:eastAsia="en-US" w:bidi="ar-SA"/>
              </w:rPr>
            </w:pPr>
            <w:r>
              <w:rPr>
                <w:rFonts w:eastAsia="ＭＳ 明朝" w:cs=""/>
                <w:b/>
                <w:color w:val="FFFFFF"/>
                <w:kern w:val="0"/>
                <w:sz w:val="19"/>
                <w:szCs w:val="22"/>
                <w:lang w:val="en-US" w:eastAsia="en-US" w:bidi="ar-SA"/>
              </w:rPr>
              <w:t>Precision</w:t>
            </w:r>
          </w:p>
        </w:tc>
        <w:tc>
          <w:tcPr>
            <w:tcW w:w="1162" w:type="dxa"/>
            <w:tcBorders/>
            <w:shd w:color="auto" w:fill="1F3A5F" w:val="clear"/>
          </w:tcPr>
          <w:p>
            <w:pPr>
              <w:pStyle w:val="Normal"/>
              <w:widowControl/>
              <w:spacing w:before="0" w:after="160"/>
              <w:jc w:val="center"/>
              <w:rPr>
                <w:rFonts w:eastAsia="ＭＳ 明朝" w:cs=""/>
                <w:kern w:val="0"/>
                <w:szCs w:val="22"/>
                <w:lang w:val="en-US" w:eastAsia="en-US" w:bidi="ar-SA"/>
              </w:rPr>
            </w:pPr>
            <w:r>
              <w:rPr>
                <w:rFonts w:eastAsia="ＭＳ 明朝" w:cs=""/>
                <w:b/>
                <w:color w:val="FFFFFF"/>
                <w:kern w:val="0"/>
                <w:sz w:val="19"/>
                <w:szCs w:val="22"/>
                <w:lang w:val="en-US" w:eastAsia="en-US" w:bidi="ar-SA"/>
              </w:rPr>
              <w:t>Recall</w:t>
            </w:r>
          </w:p>
        </w:tc>
        <w:tc>
          <w:tcPr>
            <w:tcW w:w="1162" w:type="dxa"/>
            <w:tcBorders/>
            <w:shd w:color="auto" w:fill="1F3A5F" w:val="clear"/>
          </w:tcPr>
          <w:p>
            <w:pPr>
              <w:pStyle w:val="Normal"/>
              <w:widowControl/>
              <w:spacing w:before="0" w:after="160"/>
              <w:jc w:val="center"/>
              <w:rPr>
                <w:rFonts w:eastAsia="ＭＳ 明朝" w:cs=""/>
                <w:kern w:val="0"/>
                <w:szCs w:val="22"/>
                <w:lang w:val="en-US" w:eastAsia="en-US" w:bidi="ar-SA"/>
              </w:rPr>
            </w:pPr>
            <w:r>
              <w:rPr>
                <w:rFonts w:eastAsia="ＭＳ 明朝" w:cs=""/>
                <w:b/>
                <w:color w:val="FFFFFF"/>
                <w:kern w:val="0"/>
                <w:sz w:val="19"/>
                <w:szCs w:val="22"/>
                <w:lang w:val="en-US" w:eastAsia="en-US" w:bidi="ar-SA"/>
              </w:rPr>
              <w:t>F1</w:t>
            </w:r>
          </w:p>
        </w:tc>
        <w:tc>
          <w:tcPr>
            <w:tcW w:w="1162" w:type="dxa"/>
            <w:tcBorders/>
            <w:shd w:color="auto" w:fill="1F3A5F" w:val="clear"/>
          </w:tcPr>
          <w:p>
            <w:pPr>
              <w:pStyle w:val="Normal"/>
              <w:widowControl/>
              <w:spacing w:before="0" w:after="160"/>
              <w:jc w:val="center"/>
              <w:rPr>
                <w:rFonts w:eastAsia="ＭＳ 明朝" w:cs=""/>
                <w:kern w:val="0"/>
                <w:szCs w:val="22"/>
                <w:lang w:val="en-US" w:eastAsia="en-US" w:bidi="ar-SA"/>
              </w:rPr>
            </w:pPr>
            <w:r>
              <w:rPr>
                <w:rFonts w:eastAsia="ＭＳ 明朝" w:cs=""/>
                <w:b/>
                <w:color w:val="FFFFFF"/>
                <w:kern w:val="0"/>
                <w:sz w:val="19"/>
                <w:szCs w:val="22"/>
                <w:lang w:val="en-US" w:eastAsia="en-US" w:bidi="ar-SA"/>
              </w:rPr>
              <w:t>TP</w:t>
            </w:r>
          </w:p>
        </w:tc>
        <w:tc>
          <w:tcPr>
            <w:tcW w:w="1162" w:type="dxa"/>
            <w:tcBorders/>
            <w:shd w:color="auto" w:fill="1F3A5F" w:val="clear"/>
          </w:tcPr>
          <w:p>
            <w:pPr>
              <w:pStyle w:val="Normal"/>
              <w:widowControl/>
              <w:spacing w:before="0" w:after="160"/>
              <w:jc w:val="center"/>
              <w:rPr>
                <w:rFonts w:eastAsia="ＭＳ 明朝" w:cs=""/>
                <w:kern w:val="0"/>
                <w:szCs w:val="22"/>
                <w:lang w:val="en-US" w:eastAsia="en-US" w:bidi="ar-SA"/>
              </w:rPr>
            </w:pPr>
            <w:r>
              <w:rPr>
                <w:rFonts w:eastAsia="ＭＳ 明朝" w:cs=""/>
                <w:b/>
                <w:color w:val="FFFFFF"/>
                <w:kern w:val="0"/>
                <w:sz w:val="19"/>
                <w:szCs w:val="22"/>
                <w:lang w:val="en-US" w:eastAsia="en-US" w:bidi="ar-SA"/>
              </w:rPr>
              <w:t>FP</w:t>
            </w:r>
          </w:p>
        </w:tc>
        <w:tc>
          <w:tcPr>
            <w:tcW w:w="1162" w:type="dxa"/>
            <w:tcBorders/>
            <w:shd w:color="auto" w:fill="1F3A5F" w:val="clear"/>
          </w:tcPr>
          <w:p>
            <w:pPr>
              <w:pStyle w:val="Normal"/>
              <w:widowControl/>
              <w:spacing w:before="0" w:after="160"/>
              <w:jc w:val="center"/>
              <w:rPr>
                <w:rFonts w:eastAsia="ＭＳ 明朝" w:cs=""/>
                <w:kern w:val="0"/>
                <w:szCs w:val="22"/>
                <w:lang w:val="en-US" w:eastAsia="en-US" w:bidi="ar-SA"/>
              </w:rPr>
            </w:pPr>
            <w:r>
              <w:rPr>
                <w:rFonts w:eastAsia="ＭＳ 明朝" w:cs=""/>
                <w:b/>
                <w:color w:val="FFFFFF"/>
                <w:kern w:val="0"/>
                <w:sz w:val="19"/>
                <w:szCs w:val="22"/>
                <w:lang w:val="en-US" w:eastAsia="en-US" w:bidi="ar-SA"/>
              </w:rPr>
              <w:t>FN</w:t>
            </w:r>
          </w:p>
        </w:tc>
      </w:tr>
      <w:tr>
        <w:trPr/>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1,000</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frozen</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0.9989</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0.9109</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0.9529</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910</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1</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89</w:t>
            </w:r>
          </w:p>
        </w:tc>
      </w:tr>
      <w:tr>
        <w:trPr/>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1,000</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fine-tuned</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0.9989</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0.9109</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0.9529</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910</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1</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89</w:t>
            </w:r>
          </w:p>
        </w:tc>
      </w:tr>
      <w:tr>
        <w:trPr/>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2,000</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frozen</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0.9978</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0.9063</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0.9499</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1,809</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4</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187</w:t>
            </w:r>
          </w:p>
        </w:tc>
      </w:tr>
      <w:tr>
        <w:trPr/>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2,000</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fine-tuned</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0.9978</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0.9063</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0.9499</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1,809</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4</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187</w:t>
            </w:r>
          </w:p>
        </w:tc>
      </w:tr>
      <w:tr>
        <w:trPr/>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5,000</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frozen</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0.9963</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0.9141</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0.9534</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4,555</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17</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428</w:t>
            </w:r>
          </w:p>
        </w:tc>
      </w:tr>
      <w:tr>
        <w:trPr/>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5,000</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fine-tuned</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0.9963</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0.9141</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0.9534</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4,555</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17</w:t>
            </w:r>
          </w:p>
        </w:tc>
        <w:tc>
          <w:tcPr>
            <w:tcW w:w="1162"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428</w:t>
            </w:r>
          </w:p>
        </w:tc>
      </w:tr>
    </w:tbl>
    <w:p>
      <w:pPr>
        <w:pStyle w:val="Normal"/>
        <w:rPr/>
      </w:pPr>
      <w:r>
        <w:rPr/>
      </w:r>
    </w:p>
    <w:p>
      <w:pPr>
        <w:pStyle w:val="Normal"/>
        <w:spacing w:before="0" w:after="160"/>
        <w:rPr/>
      </w:pPr>
      <w:r>
        <w:rPr>
          <w:b w:val="false"/>
          <w:i/>
          <w:color w:val="5A6472"/>
          <w:sz w:val="20"/>
        </w:rPr>
        <w:t>Identical to four decimal places at every sample size — not one call differs.</w:t>
      </w:r>
    </w:p>
    <w:p>
      <w:pPr>
        <w:pStyle w:val="Heading2"/>
        <w:rPr/>
      </w:pPr>
      <w:r>
        <w:rPr/>
        <w:t>5.4 Net effect of fine-tuning at n=5,000</w:t>
      </w:r>
    </w:p>
    <w:tbl>
      <w:tblPr>
        <w:tblStyle w:val="TableGrid"/>
        <w:tblW w:w="930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60"/>
        <w:gridCol w:w="1860"/>
        <w:gridCol w:w="1860"/>
        <w:gridCol w:w="1860"/>
        <w:gridCol w:w="1860"/>
      </w:tblGrid>
      <w:tr>
        <w:trPr>
          <w:tblHeader w:val="true"/>
        </w:trPr>
        <w:tc>
          <w:tcPr>
            <w:tcW w:w="1860" w:type="dxa"/>
            <w:tcBorders/>
            <w:shd w:color="auto" w:fill="1F3A5F" w:val="clear"/>
          </w:tcPr>
          <w:p>
            <w:pPr>
              <w:pStyle w:val="Normal"/>
              <w:widowControl/>
              <w:spacing w:before="0" w:after="160"/>
              <w:jc w:val="center"/>
              <w:rPr>
                <w:rFonts w:eastAsia="ＭＳ 明朝" w:cs=""/>
                <w:kern w:val="0"/>
                <w:szCs w:val="22"/>
                <w:lang w:val="en-US" w:eastAsia="en-US" w:bidi="ar-SA"/>
              </w:rPr>
            </w:pPr>
            <w:r>
              <w:rPr>
                <w:rFonts w:eastAsia="ＭＳ 明朝" w:cs=""/>
                <w:b/>
                <w:color w:val="FFFFFF"/>
                <w:kern w:val="0"/>
                <w:sz w:val="19"/>
                <w:szCs w:val="22"/>
                <w:lang w:val="en-US" w:eastAsia="en-US" w:bidi="ar-SA"/>
              </w:rPr>
              <w:t>Kingdom</w:t>
            </w:r>
          </w:p>
        </w:tc>
        <w:tc>
          <w:tcPr>
            <w:tcW w:w="1860" w:type="dxa"/>
            <w:tcBorders/>
            <w:shd w:color="auto" w:fill="1F3A5F" w:val="clear"/>
          </w:tcPr>
          <w:p>
            <w:pPr>
              <w:pStyle w:val="Normal"/>
              <w:widowControl/>
              <w:spacing w:before="0" w:after="160"/>
              <w:jc w:val="center"/>
              <w:rPr>
                <w:rFonts w:eastAsia="ＭＳ 明朝" w:cs=""/>
                <w:kern w:val="0"/>
                <w:szCs w:val="22"/>
                <w:lang w:val="en-US" w:eastAsia="en-US" w:bidi="ar-SA"/>
              </w:rPr>
            </w:pPr>
            <w:r>
              <w:rPr>
                <w:rFonts w:eastAsia="ＭＳ 明朝" w:cs=""/>
                <w:b/>
                <w:color w:val="FFFFFF"/>
                <w:kern w:val="0"/>
                <w:sz w:val="19"/>
                <w:szCs w:val="22"/>
                <w:lang w:val="en-US" w:eastAsia="en-US" w:bidi="ar-SA"/>
              </w:rPr>
              <w:t>F1 frozen</w:t>
            </w:r>
          </w:p>
        </w:tc>
        <w:tc>
          <w:tcPr>
            <w:tcW w:w="1860" w:type="dxa"/>
            <w:tcBorders/>
            <w:shd w:color="auto" w:fill="1F3A5F" w:val="clear"/>
          </w:tcPr>
          <w:p>
            <w:pPr>
              <w:pStyle w:val="Normal"/>
              <w:widowControl/>
              <w:spacing w:before="0" w:after="160"/>
              <w:jc w:val="center"/>
              <w:rPr>
                <w:rFonts w:eastAsia="ＭＳ 明朝" w:cs=""/>
                <w:kern w:val="0"/>
                <w:szCs w:val="22"/>
                <w:lang w:val="en-US" w:eastAsia="en-US" w:bidi="ar-SA"/>
              </w:rPr>
            </w:pPr>
            <w:r>
              <w:rPr>
                <w:rFonts w:eastAsia="ＭＳ 明朝" w:cs=""/>
                <w:b/>
                <w:color w:val="FFFFFF"/>
                <w:kern w:val="0"/>
                <w:sz w:val="19"/>
                <w:szCs w:val="22"/>
                <w:lang w:val="en-US" w:eastAsia="en-US" w:bidi="ar-SA"/>
              </w:rPr>
              <w:t>F1 fine-tuned</w:t>
            </w:r>
          </w:p>
        </w:tc>
        <w:tc>
          <w:tcPr>
            <w:tcW w:w="1860" w:type="dxa"/>
            <w:tcBorders/>
            <w:shd w:color="auto" w:fill="1F3A5F" w:val="clear"/>
          </w:tcPr>
          <w:p>
            <w:pPr>
              <w:pStyle w:val="Normal"/>
              <w:widowControl/>
              <w:spacing w:before="0" w:after="160"/>
              <w:jc w:val="center"/>
              <w:rPr>
                <w:rFonts w:eastAsia="ＭＳ 明朝" w:cs=""/>
                <w:kern w:val="0"/>
                <w:szCs w:val="22"/>
                <w:lang w:val="en-US" w:eastAsia="en-US" w:bidi="ar-SA"/>
              </w:rPr>
            </w:pPr>
            <w:r>
              <w:rPr>
                <w:rFonts w:eastAsia="ＭＳ 明朝" w:cs=""/>
                <w:b/>
                <w:color w:val="FFFFFF"/>
                <w:kern w:val="0"/>
                <w:sz w:val="19"/>
                <w:szCs w:val="22"/>
                <w:lang w:val="en-US" w:eastAsia="en-US" w:bidi="ar-SA"/>
              </w:rPr>
              <w:t>Change</w:t>
            </w:r>
          </w:p>
        </w:tc>
        <w:tc>
          <w:tcPr>
            <w:tcW w:w="1860" w:type="dxa"/>
            <w:tcBorders/>
            <w:shd w:color="auto" w:fill="1F3A5F" w:val="clear"/>
          </w:tcPr>
          <w:p>
            <w:pPr>
              <w:pStyle w:val="Normal"/>
              <w:widowControl/>
              <w:spacing w:before="0" w:after="160"/>
              <w:jc w:val="center"/>
              <w:rPr>
                <w:rFonts w:eastAsia="ＭＳ 明朝" w:cs=""/>
                <w:kern w:val="0"/>
                <w:szCs w:val="22"/>
                <w:lang w:val="en-US" w:eastAsia="en-US" w:bidi="ar-SA"/>
              </w:rPr>
            </w:pPr>
            <w:r>
              <w:rPr>
                <w:rFonts w:eastAsia="ＭＳ 明朝" w:cs=""/>
                <w:b/>
                <w:color w:val="FFFFFF"/>
                <w:kern w:val="0"/>
                <w:sz w:val="19"/>
                <w:szCs w:val="22"/>
                <w:lang w:val="en-US" w:eastAsia="en-US" w:bidi="ar-SA"/>
              </w:rPr>
              <w:t>Correct calls</w:t>
            </w:r>
          </w:p>
        </w:tc>
      </w:tr>
      <w:tr>
        <w:trPr/>
        <w:tc>
          <w:tcPr>
            <w:tcW w:w="1860"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Bacteria</w:t>
            </w:r>
          </w:p>
        </w:tc>
        <w:tc>
          <w:tcPr>
            <w:tcW w:w="1860"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0.8806</w:t>
            </w:r>
          </w:p>
        </w:tc>
        <w:tc>
          <w:tcPr>
            <w:tcW w:w="1860"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0.8809</w:t>
            </w:r>
          </w:p>
        </w:tc>
        <w:tc>
          <w:tcPr>
            <w:tcW w:w="1860"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+0.0003</w:t>
            </w:r>
          </w:p>
        </w:tc>
        <w:tc>
          <w:tcPr>
            <w:tcW w:w="1860"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3,933 → 3,936  (+3)</w:t>
            </w:r>
          </w:p>
        </w:tc>
      </w:tr>
      <w:tr>
        <w:trPr/>
        <w:tc>
          <w:tcPr>
            <w:tcW w:w="1860"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Fish</w:t>
            </w:r>
          </w:p>
        </w:tc>
        <w:tc>
          <w:tcPr>
            <w:tcW w:w="1860"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0.9668</w:t>
            </w:r>
          </w:p>
        </w:tc>
        <w:tc>
          <w:tcPr>
            <w:tcW w:w="1860"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0.9667</w:t>
            </w:r>
          </w:p>
        </w:tc>
        <w:tc>
          <w:tcPr>
            <w:tcW w:w="1860"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w:t>
            </w:r>
            <w:r>
              <w:rPr>
                <w:rFonts w:eastAsia="ＭＳ 明朝" w:cs=""/>
                <w:kern w:val="0"/>
                <w:sz w:val="19"/>
                <w:szCs w:val="22"/>
                <w:lang w:val="en-US" w:eastAsia="en-US" w:bidi="ar-SA"/>
              </w:rPr>
              <w:t>0.0001</w:t>
            </w:r>
          </w:p>
        </w:tc>
        <w:tc>
          <w:tcPr>
            <w:tcW w:w="1860"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4,679 → 4,678  (−1)</w:t>
            </w:r>
          </w:p>
        </w:tc>
      </w:tr>
      <w:tr>
        <w:trPr/>
        <w:tc>
          <w:tcPr>
            <w:tcW w:w="1860"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Eukaryota (large)</w:t>
            </w:r>
          </w:p>
        </w:tc>
        <w:tc>
          <w:tcPr>
            <w:tcW w:w="1860"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0.9534</w:t>
            </w:r>
          </w:p>
        </w:tc>
        <w:tc>
          <w:tcPr>
            <w:tcW w:w="1860"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0.9534</w:t>
            </w:r>
          </w:p>
        </w:tc>
        <w:tc>
          <w:tcPr>
            <w:tcW w:w="1860"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0.0000</w:t>
            </w:r>
          </w:p>
        </w:tc>
        <w:tc>
          <w:tcPr>
            <w:tcW w:w="1860"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4,555 → 4,555  (0)</w:t>
            </w:r>
          </w:p>
        </w:tc>
      </w:tr>
    </w:tbl>
    <w:p>
      <w:pPr>
        <w:pStyle w:val="Normal"/>
        <w:rPr/>
      </w:pPr>
      <w:r>
        <w:rPr/>
      </w:r>
    </w:p>
    <w:p>
      <w:pPr>
        <w:pStyle w:val="Normal"/>
        <w:rPr/>
      </w:pPr>
      <w:r>
        <w:rPr/>
      </w:r>
      <w:r>
        <w:br w:type="page"/>
      </w:r>
    </w:p>
    <w:p>
      <w:pPr>
        <w:pStyle w:val="Heading1"/>
        <w:rPr/>
      </w:pPr>
      <w:r>
        <w:rPr/>
        <w:t>6. Correctness Checks</w:t>
      </w:r>
    </w:p>
    <w:p>
      <w:pPr>
        <w:pStyle w:val="Normal"/>
        <w:spacing w:before="0" w:after="160"/>
        <w:rPr/>
      </w:pPr>
      <w:r>
        <w:rPr>
          <w:b w:val="false"/>
          <w:i w:val="false"/>
          <w:color w:val="222222"/>
          <w:sz w:val="22"/>
        </w:rPr>
        <w:t>Two independent confirmations that the numbers above are not an artifact of a new, unverified script:</w:t>
      </w:r>
    </w:p>
    <w:p>
      <w:pPr>
        <w:pStyle w:val="Heading2"/>
        <w:rPr/>
      </w:pPr>
      <w:r>
        <w:rPr/>
        <w:t>6.1 Cross-validation against the earlier architecture evaluation</w:t>
      </w:r>
    </w:p>
    <w:p>
      <w:pPr>
        <w:pStyle w:val="Normal"/>
        <w:spacing w:before="0" w:after="160"/>
        <w:rPr/>
      </w:pPr>
      <w:r>
        <w:rPr>
          <w:b w:val="false"/>
          <w:i w:val="false"/>
          <w:color w:val="222222"/>
          <w:sz w:val="22"/>
        </w:rPr>
        <w:t>The Part 13/14 architecture evaluation is a separately written script that computes 'correct calls' by a different code path. At n=1,000 the two agree exactly:</w:t>
      </w:r>
    </w:p>
    <w:tbl>
      <w:tblPr>
        <w:tblStyle w:val="TableGrid"/>
        <w:tblW w:w="929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24"/>
        <w:gridCol w:w="2324"/>
        <w:gridCol w:w="2324"/>
        <w:gridCol w:w="2324"/>
      </w:tblGrid>
      <w:tr>
        <w:trPr>
          <w:tblHeader w:val="true"/>
        </w:trPr>
        <w:tc>
          <w:tcPr>
            <w:tcW w:w="2324" w:type="dxa"/>
            <w:tcBorders/>
            <w:shd w:color="auto" w:fill="1F3A5F" w:val="clear"/>
          </w:tcPr>
          <w:p>
            <w:pPr>
              <w:pStyle w:val="Normal"/>
              <w:widowControl/>
              <w:spacing w:before="0" w:after="160"/>
              <w:jc w:val="center"/>
              <w:rPr>
                <w:rFonts w:eastAsia="ＭＳ 明朝" w:cs=""/>
                <w:kern w:val="0"/>
                <w:szCs w:val="22"/>
                <w:lang w:val="en-US" w:eastAsia="en-US" w:bidi="ar-SA"/>
              </w:rPr>
            </w:pPr>
            <w:r>
              <w:rPr>
                <w:rFonts w:eastAsia="ＭＳ 明朝" w:cs=""/>
                <w:b/>
                <w:color w:val="FFFFFF"/>
                <w:kern w:val="0"/>
                <w:sz w:val="19"/>
                <w:szCs w:val="22"/>
                <w:lang w:val="en-US" w:eastAsia="en-US" w:bidi="ar-SA"/>
              </w:rPr>
              <w:t>Kingdom</w:t>
            </w:r>
          </w:p>
        </w:tc>
        <w:tc>
          <w:tcPr>
            <w:tcW w:w="2324" w:type="dxa"/>
            <w:tcBorders/>
            <w:shd w:color="auto" w:fill="1F3A5F" w:val="clear"/>
          </w:tcPr>
          <w:p>
            <w:pPr>
              <w:pStyle w:val="Normal"/>
              <w:widowControl/>
              <w:spacing w:before="0" w:after="160"/>
              <w:jc w:val="center"/>
              <w:rPr>
                <w:rFonts w:eastAsia="ＭＳ 明朝" w:cs=""/>
                <w:kern w:val="0"/>
                <w:szCs w:val="22"/>
                <w:lang w:val="en-US" w:eastAsia="en-US" w:bidi="ar-SA"/>
              </w:rPr>
            </w:pPr>
            <w:r>
              <w:rPr>
                <w:rFonts w:eastAsia="ＭＳ 明朝" w:cs=""/>
                <w:b/>
                <w:color w:val="FFFFFF"/>
                <w:kern w:val="0"/>
                <w:sz w:val="19"/>
                <w:szCs w:val="22"/>
                <w:lang w:val="en-US" w:eastAsia="en-US" w:bidi="ar-SA"/>
              </w:rPr>
              <w:t>POC 6 TP (frozen / fine-tuned)</w:t>
            </w:r>
          </w:p>
        </w:tc>
        <w:tc>
          <w:tcPr>
            <w:tcW w:w="2324" w:type="dxa"/>
            <w:tcBorders/>
            <w:shd w:color="auto" w:fill="1F3A5F" w:val="clear"/>
          </w:tcPr>
          <w:p>
            <w:pPr>
              <w:pStyle w:val="Normal"/>
              <w:widowControl/>
              <w:spacing w:before="0" w:after="160"/>
              <w:jc w:val="center"/>
              <w:rPr>
                <w:rFonts w:eastAsia="ＭＳ 明朝" w:cs=""/>
                <w:kern w:val="0"/>
                <w:szCs w:val="22"/>
                <w:lang w:val="en-US" w:eastAsia="en-US" w:bidi="ar-SA"/>
              </w:rPr>
            </w:pPr>
            <w:r>
              <w:rPr>
                <w:rFonts w:eastAsia="ＭＳ 明朝" w:cs=""/>
                <w:b/>
                <w:color w:val="FFFFFF"/>
                <w:kern w:val="0"/>
                <w:sz w:val="19"/>
                <w:szCs w:val="22"/>
                <w:lang w:val="en-US" w:eastAsia="en-US" w:bidi="ar-SA"/>
              </w:rPr>
              <w:t>Part 13-14 correct calls (frozen / fine-tuned)</w:t>
            </w:r>
          </w:p>
        </w:tc>
        <w:tc>
          <w:tcPr>
            <w:tcW w:w="2324" w:type="dxa"/>
            <w:tcBorders/>
            <w:shd w:color="auto" w:fill="1F3A5F" w:val="clear"/>
          </w:tcPr>
          <w:p>
            <w:pPr>
              <w:pStyle w:val="Normal"/>
              <w:widowControl/>
              <w:spacing w:before="0" w:after="160"/>
              <w:jc w:val="center"/>
              <w:rPr>
                <w:rFonts w:eastAsia="ＭＳ 明朝" w:cs=""/>
                <w:kern w:val="0"/>
                <w:szCs w:val="22"/>
                <w:lang w:val="en-US" w:eastAsia="en-US" w:bidi="ar-SA"/>
              </w:rPr>
            </w:pPr>
            <w:r>
              <w:rPr>
                <w:rFonts w:eastAsia="ＭＳ 明朝" w:cs=""/>
                <w:b/>
                <w:color w:val="FFFFFF"/>
                <w:kern w:val="0"/>
                <w:sz w:val="19"/>
                <w:szCs w:val="22"/>
                <w:lang w:val="en-US" w:eastAsia="en-US" w:bidi="ar-SA"/>
              </w:rPr>
              <w:t>Match</w:t>
            </w:r>
          </w:p>
        </w:tc>
      </w:tr>
      <w:tr>
        <w:trPr/>
        <w:tc>
          <w:tcPr>
            <w:tcW w:w="2324"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Bacteria</w:t>
            </w:r>
          </w:p>
        </w:tc>
        <w:tc>
          <w:tcPr>
            <w:tcW w:w="2324"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782 / 784</w:t>
            </w:r>
          </w:p>
        </w:tc>
        <w:tc>
          <w:tcPr>
            <w:tcW w:w="2324"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782 / 784</w:t>
            </w:r>
          </w:p>
        </w:tc>
        <w:tc>
          <w:tcPr>
            <w:tcW w:w="2324"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exact</w:t>
            </w:r>
          </w:p>
        </w:tc>
      </w:tr>
      <w:tr>
        <w:trPr/>
        <w:tc>
          <w:tcPr>
            <w:tcW w:w="2324"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Fish</w:t>
            </w:r>
          </w:p>
        </w:tc>
        <w:tc>
          <w:tcPr>
            <w:tcW w:w="2324"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936 / 936</w:t>
            </w:r>
          </w:p>
        </w:tc>
        <w:tc>
          <w:tcPr>
            <w:tcW w:w="2324"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936 / 936</w:t>
            </w:r>
          </w:p>
        </w:tc>
        <w:tc>
          <w:tcPr>
            <w:tcW w:w="2324" w:type="dxa"/>
            <w:tcBorders/>
            <w:vAlign w:val="center"/>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exact</w:t>
            </w:r>
          </w:p>
        </w:tc>
      </w:tr>
    </w:tbl>
    <w:p>
      <w:pPr>
        <w:pStyle w:val="Normal"/>
        <w:rPr/>
      </w:pPr>
      <w:r>
        <w:rPr/>
      </w:r>
    </w:p>
    <w:p>
      <w:pPr>
        <w:pStyle w:val="Heading2"/>
        <w:rPr/>
      </w:pPr>
      <w:r>
        <w:rPr/>
        <w:t>6.2 Train/test separation verified against the training logs</w:t>
      </w:r>
    </w:p>
    <w:p>
      <w:pPr>
        <w:pStyle w:val="Normal"/>
        <w:spacing w:before="0" w:after="160"/>
        <w:rPr/>
      </w:pPr>
      <w:r>
        <w:rPr>
          <w:b w:val="false"/>
          <w:i w:val="false"/>
          <w:color w:val="222222"/>
          <w:sz w:val="22"/>
        </w:rPr>
        <w:t>The evaluation reconstructs the seed-42 partition rather than importing it, so the reconstruction was checked against what each model actually trained on. The training reference counts it derives match each model's own training log exactly — fish 13,274, bacteria 4,000, eukaryota_large 20,000 — confirming the held-out references really were excluded from training and the comparison is uncontaminated.</w:t>
      </w:r>
    </w:p>
    <w:p>
      <w:pPr>
        <w:pStyle w:val="Normal"/>
        <w:rPr/>
      </w:pPr>
      <w:r>
        <w:rPr/>
      </w:r>
      <w:r>
        <w:br w:type="page"/>
      </w:r>
    </w:p>
    <w:p>
      <w:pPr>
        <w:pStyle w:val="Heading1"/>
        <w:rPr/>
      </w:pPr>
      <w:r>
        <w:rPr/>
        <w:t>7. Conclusions</w:t>
      </w:r>
    </w:p>
    <w:p>
      <w:pPr>
        <w:pStyle w:val="ListBullet"/>
        <w:numPr>
          <w:ilvl w:val="0"/>
          <w:numId w:val="1"/>
        </w:numPr>
        <w:spacing w:before="0" w:after="80"/>
        <w:contextualSpacing/>
        <w:rPr/>
      </w:pPr>
      <w:r>
        <w:rPr>
          <w:b/>
          <w:sz w:val="21"/>
        </w:rPr>
        <w:t xml:space="preserve">Fine-tuning does not reach production. </w:t>
      </w:r>
      <w:r>
        <w:rPr>
          <w:sz w:val="21"/>
        </w:rPr>
        <w:t>Across 15,000 held-out fragments spanning three kingdoms and three sample sizes, fine-tuning changes the production pipeline's output by at most 3 calls in 5,000, and in the best-powered case by exactly zero. The isolated improvements (+62.1pp bacteria, +35.2pp fish) are real but do not reach the user.</w:t>
      </w:r>
    </w:p>
    <w:p>
      <w:pPr>
        <w:pStyle w:val="ListBullet"/>
        <w:numPr>
          <w:ilvl w:val="0"/>
          <w:numId w:val="1"/>
        </w:numPr>
        <w:spacing w:before="0" w:after="80"/>
        <w:contextualSpacing/>
        <w:rPr/>
      </w:pPr>
      <w:r>
        <w:rPr>
          <w:b/>
          <w:sz w:val="21"/>
        </w:rPr>
        <w:t xml:space="preserve">The bottleneck is architectural, not model quality. </w:t>
      </w:r>
      <w:r>
        <w:rPr>
          <w:sz w:val="21"/>
        </w:rPr>
        <w:t>BM25 retrieves nearly every answer the system can find. The embedding model's only remaining job is reordering BM25's own candidates, and it cannot add a candidate BM25 never retrieved. This was already the conclusion of Parts 13-14 from Recall@K; POC 6 confirms it under classification metrics with 5x the test data.</w:t>
      </w:r>
    </w:p>
    <w:p>
      <w:pPr>
        <w:pStyle w:val="ListBullet"/>
        <w:numPr>
          <w:ilvl w:val="0"/>
          <w:numId w:val="1"/>
        </w:numPr>
        <w:spacing w:before="0" w:after="80"/>
        <w:contextualSpacing/>
        <w:rPr/>
      </w:pPr>
      <w:r>
        <w:rPr>
          <w:b/>
          <w:sz w:val="21"/>
        </w:rPr>
        <w:t xml:space="preserve">The pipeline is precision-oriented by design. </w:t>
      </w:r>
      <w:r>
        <w:rPr>
          <w:sz w:val="21"/>
        </w:rPr>
        <w:t>Precision is high everywhere — 0.912 (bacteria), 0.984 (fish), 0.996 (eukaryota). When the pipeline commits to an answer, it is almost always right. Recall is lower (0.85–0.95) because the system abstains rather than guessing, which is the intended behaviour.</w:t>
      </w:r>
    </w:p>
    <w:p>
      <w:pPr>
        <w:pStyle w:val="ListBullet"/>
        <w:numPr>
          <w:ilvl w:val="0"/>
          <w:numId w:val="1"/>
        </w:numPr>
        <w:spacing w:before="0" w:after="80"/>
        <w:contextualSpacing/>
        <w:rPr/>
      </w:pPr>
      <w:r>
        <w:rPr>
          <w:b/>
          <w:sz w:val="21"/>
        </w:rPr>
        <w:t xml:space="preserve">More data did not change the answer. </w:t>
      </w:r>
      <w:r>
        <w:rPr>
          <w:sz w:val="21"/>
        </w:rPr>
        <w:t>Larger test sets did not reveal a hidden benefit. Going from 1,000 to 5,000 samples sharpened the resolution and confirmed the absence of an effect rather than uncovering one.</w:t>
      </w:r>
    </w:p>
    <w:p>
      <w:pPr>
        <w:pStyle w:val="Heading1"/>
        <w:rPr/>
      </w:pPr>
      <w:r>
        <w:rPr/>
        <w:t>7.1 What is still open</w:t>
      </w:r>
    </w:p>
    <w:p>
      <w:pPr>
        <w:pStyle w:val="ListBullet"/>
        <w:numPr>
          <w:ilvl w:val="0"/>
          <w:numId w:val="1"/>
        </w:numPr>
        <w:spacing w:before="0" w:after="80"/>
        <w:contextualSpacing/>
        <w:rPr/>
      </w:pPr>
      <w:r>
        <w:rPr>
          <w:b/>
          <w:sz w:val="21"/>
        </w:rPr>
        <w:t xml:space="preserve">Could a different architecture unlock the gain? </w:t>
      </w:r>
      <w:r>
        <w:rPr>
          <w:sz w:val="21"/>
        </w:rPr>
        <w:t>Every architecture tested still takes BM25's 30-candidate shortlist as fixed. Whether widening that pool, or fusing BM25 and embedding rankings earlier, could convert the isolated gains into real end-to-end improvement remains unmeasured.</w:t>
      </w:r>
    </w:p>
    <w:p>
      <w:pPr>
        <w:pStyle w:val="ListBullet"/>
        <w:numPr>
          <w:ilvl w:val="0"/>
          <w:numId w:val="1"/>
        </w:numPr>
        <w:spacing w:before="0" w:after="80"/>
        <w:contextualSpacing/>
        <w:rPr/>
      </w:pPr>
      <w:r>
        <w:rPr>
          <w:b/>
          <w:sz w:val="21"/>
        </w:rPr>
        <w:t xml:space="preserve">Eukaryota duplicate rate. </w:t>
      </w:r>
      <w:r>
        <w:rPr>
          <w:sz w:val="21"/>
        </w:rPr>
        <w:t>53% of the new eukaryota references are exact duplicates, so some held-out sequences are byte-identical to training ones. This is not contamination — the records are genuinely held out, and the ≥95% ground truth counts such a match correct anyway — but it makes the task easier than 25,000 references implies.</w:t>
      </w:r>
    </w:p>
    <w:p>
      <w:pPr>
        <w:pStyle w:val="ListBullet"/>
        <w:numPr>
          <w:ilvl w:val="0"/>
          <w:numId w:val="1"/>
        </w:numPr>
        <w:spacing w:before="0" w:after="80"/>
        <w:contextualSpacing/>
        <w:rPr/>
      </w:pPr>
      <w:r>
        <w:rPr>
          <w:b/>
          <w:sz w:val="21"/>
        </w:rPr>
        <w:t xml:space="preserve">Sample independence for two kingdoms. </w:t>
      </w:r>
      <w:r>
        <w:rPr>
          <w:sz w:val="21"/>
        </w:rPr>
        <w:t>Bacteria (5.00) and fish (1.51) still draw multiple fragments per held-out reference. Their reference pools would need expanding, as eukaryota's was here, for fully independent 5,000-sample tests.</w:t>
      </w:r>
    </w:p>
    <w:p>
      <w:pPr>
        <w:pStyle w:val="ListBullet"/>
        <w:numPr>
          <w:ilvl w:val="0"/>
          <w:numId w:val="1"/>
        </w:numPr>
        <w:spacing w:before="0" w:after="80"/>
        <w:contextualSpacing/>
        <w:rPr/>
      </w:pPr>
      <w:r>
        <w:rPr>
          <w:b/>
          <w:sz w:val="21"/>
        </w:rPr>
        <w:t xml:space="preserve">The new set is not for real-read classification. </w:t>
      </w:r>
      <w:r>
        <w:rPr>
          <w:sz w:val="21"/>
        </w:rPr>
        <w:t>The large eukaryota set uses 1391F/EukBr primers, which do not match the real Tara Pacific reads. It is the right set for measuring fine-tuning benefit, but the 853-record Tara set remains the correct one for classifying those specific reads.</w:t>
      </w:r>
    </w:p>
    <w:sectPr>
      <w:type w:val="nextPage"/>
      <w:pgSz w:w="11906" w:h="16838"/>
      <w:pgMar w:left="1304" w:right="1304"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60"/>
      <w:jc w:val="left"/>
    </w:pPr>
    <w:rPr>
      <w:rFonts w:ascii="Calibri" w:hAnsi="Calibri" w:eastAsia="ＭＳ 明朝" w:cs=""/>
      <w:color w:val="222222"/>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00" w:after="0"/>
      <w:outlineLvl w:val="0"/>
    </w:pPr>
    <w:rPr>
      <w:rFonts w:ascii="Calibri" w:hAnsi="Calibri" w:eastAsia="ＭＳ ゴシック" w:cs="" w:asciiTheme="majorHAnsi" w:cstheme="majorBidi" w:eastAsiaTheme="majorEastAsia" w:hAnsiTheme="majorHAnsi"/>
      <w:b/>
      <w:bCs/>
      <w:color w:val="1F3A5F"/>
      <w:sz w:val="38"/>
      <w:szCs w:val="28"/>
    </w:rPr>
  </w:style>
  <w:style w:type="paragraph" w:styleId="Heading2">
    <w:name w:val="Heading 2"/>
    <w:basedOn w:val="Normal"/>
    <w:next w:val="Normal"/>
    <w:link w:val="Heading2Char"/>
    <w:uiPriority w:val="9"/>
    <w:unhideWhenUsed/>
    <w:qFormat/>
    <w:rsid w:val="00fc693f"/>
    <w:pPr>
      <w:keepNext w:val="true"/>
      <w:keepLines/>
      <w:spacing w:before="280" w:after="0"/>
      <w:outlineLvl w:val="1"/>
    </w:pPr>
    <w:rPr>
      <w:rFonts w:ascii="Calibri" w:hAnsi="Calibri" w:eastAsia="ＭＳ ゴシック" w:cs="" w:asciiTheme="majorHAnsi" w:cstheme="majorBidi" w:eastAsiaTheme="majorEastAsia" w:hAnsiTheme="majorHAnsi"/>
      <w:b/>
      <w:bCs/>
      <w:color w:val="1F3A5F"/>
      <w:sz w:val="28"/>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2F8F7F"/>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6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16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160"/>
      <w:ind w:left="720" w:hanging="360"/>
      <w:contextualSpacing/>
    </w:pPr>
    <w:rPr/>
  </w:style>
  <w:style w:type="paragraph" w:styleId="List3">
    <w:name w:val="List Bullet 4"/>
    <w:basedOn w:val="Normal"/>
    <w:uiPriority w:val="99"/>
    <w:unhideWhenUsed/>
    <w:rsid w:val="00326f90"/>
    <w:pPr>
      <w:spacing w:before="0" w:after="160"/>
      <w:ind w:left="1080" w:hanging="360"/>
      <w:contextualSpacing/>
    </w:pPr>
    <w:rPr/>
  </w:style>
  <w:style w:type="paragraph" w:styleId="ListBullet">
    <w:name w:val="List Bullet"/>
    <w:basedOn w:val="Normal"/>
    <w:uiPriority w:val="99"/>
    <w:unhideWhenUsed/>
    <w:qFormat/>
    <w:rsid w:val="00326f90"/>
    <w:pPr>
      <w:numPr>
        <w:ilvl w:val="0"/>
        <w:numId w:val="1"/>
      </w:numPr>
      <w:spacing w:before="0" w:after="160"/>
      <w:contextualSpacing/>
    </w:pPr>
    <w:rPr/>
  </w:style>
  <w:style w:type="paragraph" w:styleId="ListBullet2">
    <w:name w:val="List Bullet 2"/>
    <w:basedOn w:val="Normal"/>
    <w:uiPriority w:val="99"/>
    <w:unhideWhenUsed/>
    <w:qFormat/>
    <w:rsid w:val="00326f90"/>
    <w:pPr>
      <w:numPr>
        <w:ilvl w:val="0"/>
        <w:numId w:val="2"/>
      </w:numPr>
      <w:spacing w:before="0" w:after="160"/>
      <w:contextualSpacing/>
    </w:pPr>
    <w:rPr/>
  </w:style>
  <w:style w:type="paragraph" w:styleId="ListBullet3">
    <w:name w:val="List Bullet 3"/>
    <w:basedOn w:val="Normal"/>
    <w:uiPriority w:val="99"/>
    <w:unhideWhenUsed/>
    <w:qFormat/>
    <w:rsid w:val="00326f90"/>
    <w:pPr>
      <w:numPr>
        <w:ilvl w:val="0"/>
        <w:numId w:val="3"/>
      </w:numPr>
      <w:spacing w:before="0" w:after="160"/>
      <w:contextualSpacing/>
    </w:pPr>
    <w:rPr/>
  </w:style>
  <w:style w:type="paragraph" w:styleId="ListNumber">
    <w:name w:val="List Number"/>
    <w:basedOn w:val="Normal"/>
    <w:uiPriority w:val="99"/>
    <w:unhideWhenUsed/>
    <w:qFormat/>
    <w:rsid w:val="00326f90"/>
    <w:pPr>
      <w:numPr>
        <w:ilvl w:val="0"/>
        <w:numId w:val="4"/>
      </w:numPr>
      <w:spacing w:before="0" w:after="160"/>
      <w:contextualSpacing/>
    </w:pPr>
    <w:rPr/>
  </w:style>
  <w:style w:type="paragraph" w:styleId="ListNumber2">
    <w:name w:val="List Number 2"/>
    <w:basedOn w:val="Normal"/>
    <w:uiPriority w:val="99"/>
    <w:unhideWhenUsed/>
    <w:qFormat/>
    <w:rsid w:val="0029639d"/>
    <w:pPr>
      <w:numPr>
        <w:ilvl w:val="0"/>
        <w:numId w:val="5"/>
      </w:numPr>
      <w:spacing w:before="0" w:after="160"/>
      <w:contextualSpacing/>
    </w:pPr>
    <w:rPr/>
  </w:style>
  <w:style w:type="paragraph" w:styleId="ListNumber3">
    <w:name w:val="List Number 3"/>
    <w:basedOn w:val="Normal"/>
    <w:uiPriority w:val="99"/>
    <w:unhideWhenUsed/>
    <w:qFormat/>
    <w:rsid w:val="0029639d"/>
    <w:pPr>
      <w:numPr>
        <w:ilvl w:val="0"/>
        <w:numId w:val="6"/>
      </w:numPr>
      <w:spacing w:before="0" w:after="16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LibreOffice/7.3.7.2$Linux_X86_64 LibreOffice_project/30$Build-2</Application>
  <AppVersion>15.0000</AppVersion>
  <Pages>12</Pages>
  <Words>2040</Words>
  <Characters>10812</Characters>
  <CharactersWithSpaces>12521</CharactersWithSpaces>
  <Paragraphs>341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2026-09-30T14:15:44Z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