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Fine-Tuning DNABERT-S for Bacterial 16S rRNA Reference Matching</w:t>
      </w:r>
    </w:p>
    <w:p>
      <w:r>
        <w:t>eDNA Reference-Matching Project — Technical Report</w:t>
      </w:r>
    </w:p>
    <w:p>
      <w:r>
        <w:rPr>
          <w:i/>
        </w:rPr>
        <w:t>September 2026</w:t>
      </w:r>
    </w:p>
    <w:p>
      <w:pPr>
        <w:pStyle w:val="Heading1"/>
      </w:pPr>
      <w:r>
        <w:t>1. Objective</w:t>
      </w:r>
    </w:p>
    <w:p>
      <w:r>
        <w:t>DNABERT-S (via the multimolecule/dnaberts checkpoint) is used in this project to embed DNA sequences into a 768-dimensional vector space, in which nearest-neighbor search (cosine similarity) retrieves candidate reference sequences for a query read. This report describes fine-tuning that embedding model specifically on real Bacteria/Archaea 16S rRNA reference data, and reports the resulting change in retrieval accuracy.</w:t>
      </w:r>
    </w:p>
    <w:p>
      <w:pPr>
        <w:pStyle w:val="Heading1"/>
      </w:pPr>
      <w:r>
        <w:t>2. Data</w:t>
      </w:r>
    </w:p>
    <w:p>
      <w:r>
        <w:t>Reference sequences were drawn from a SILVA-derived, primer-verified 16S V4-V5 amplicon set (primers 515F-Y / 926R, matching the Tara Oceans prokaryote metabarcoding protocol), giving 5,000 candidate reference records. This set was split 80/20 (train/held-out) using a fixed random seed (42), reserving 1,000 records exclusively for evaluation. Of the 4,000 training records, 2,909 (72.7%) are distinct sequences; the remainder are exact duplicates of another training record, a known redundancy characteristic of this reference database.</w:t>
      </w:r>
    </w:p>
    <w:p>
      <w:r>
        <w:t>Query-side data used for evaluation are synthetic fragments (118-140bp, matching the real read-length distribution observed in this project's experimental eDNA reads) sampled from random positions within each held-out reference, following the same synthetic-fragment methodology used throughout this project's prior calibration work.</w:t>
      </w:r>
    </w:p>
    <w:p>
      <w:pPr>
        <w:pStyle w:val="Heading1"/>
      </w:pPr>
      <w:r>
        <w:t>3. Fine-Tuning Method</w:t>
      </w:r>
    </w:p>
    <w:p>
      <w:r>
        <w:t>The model was fine-tuned using a supervised contrastive objective (SupCon; Khosla et al., 2020), which optimizes the embedding space directly for nearest-neighbor retrieval rather than for a proxy task such as masked-token prediction. This is a more direct match to the model's downstream use (FAISS cosine-similarity retrieval and MMR diversity scoring) than continued masked-language-model pretraining would be.</w:t>
      </w:r>
    </w:p>
    <w:p>
      <w:pPr>
        <w:pStyle w:val="Heading2"/>
      </w:pPr>
      <w:r>
        <w:t>3.1 Training pair construction</w:t>
      </w:r>
    </w:p>
    <w:p>
      <w:r>
        <w:t>Each training instance consists of two views of the same reference sequence: (a) a randomly positioned fragment, 118-140bp, sampled the same way as the evaluation queries, and (b) the full reference sequence itself. This ensures the training distribution matches the distribution the model is evaluated (and used in production) against.</w:t>
      </w:r>
    </w:p>
    <w:p>
      <w:pPr>
        <w:pStyle w:val="Heading2"/>
      </w:pPr>
      <w:r>
        <w:t>3.2 Label definition</w:t>
      </w:r>
    </w:p>
    <w:p>
      <w:r>
        <w:t>Class labels are defined at the level of the individual reference instance rather than by a higher taxonomic rank. Exact-duplicate sequences (Section 2) share a label, so they are correctly treated as positive pairs rather than false negatives. This yields fine-grained, instance-level discrimination consistent with the evaluation task, which requires retrieving the specific reference (or a &gt;=95%-identical relative of it) that generated a given fragment.</w:t>
      </w:r>
    </w:p>
    <w:p>
      <w:pPr>
        <w:pStyle w:val="Heading2"/>
      </w:pPr>
      <w:r>
        <w:t>3.3 Batch construction and loss</w:t>
      </w:r>
    </w:p>
    <w:p>
      <w:r>
        <w:t>Each training batch samples 8 reference instances and generates both views for each (16 sequences per batch), guaranteeing every anchor has at least one true positive within the batch. Sequences are mean-pooled over the final hidden layer (masking padding tokens) and L2-normalized before the SupCon loss is computed, with temperature τ = 0.1:</w:t>
      </w:r>
    </w:p>
    <w:p>
      <w:r>
        <w:rPr>
          <w:rFonts w:ascii="Consolas" w:hAnsi="Consolas"/>
        </w:rPr>
        <w:t>L_i = − (1 / |P(i)|) Σ_{p ∈ P(i)} log [ exp(z_i · z_p / τ) / Σ_{a ≠ i} exp(z_i · z_a / τ) ]</w:t>
      </w:r>
    </w:p>
    <w:p>
      <w:r>
        <w:t>where z_i denotes the L2-normalized embedding of anchor i and P(i) is the set of positives for anchor i within the batch.</w:t>
      </w:r>
    </w:p>
    <w:p>
      <w:pPr>
        <w:pStyle w:val="Heading2"/>
      </w:pPr>
      <w:r>
        <w:t>3.4 Training configuration</w:t>
      </w:r>
    </w:p>
    <w:tbl>
      <w:tblPr>
        <w:tblStyle w:val="LightGrid-Accent1"/>
        <w:tblW w:type="auto" w:w="0"/>
        <w:tblLook w:firstColumn="1" w:firstRow="1" w:lastColumn="0" w:lastRow="0" w:noHBand="0" w:noVBand="1" w:val="04A0"/>
      </w:tblPr>
      <w:tblGrid>
        <w:gridCol w:w="4320"/>
        <w:gridCol w:w="4320"/>
      </w:tblGrid>
      <w:tr>
        <w:tc>
          <w:tcPr>
            <w:tcW w:type="dxa" w:w="4320"/>
          </w:tcPr>
          <w:p>
            <w:r>
              <w:t>Hyperparameter</w:t>
            </w:r>
          </w:p>
        </w:tc>
        <w:tc>
          <w:tcPr>
            <w:tcW w:type="dxa" w:w="4320"/>
          </w:tcPr>
          <w:p>
            <w:r>
              <w:t>Value</w:t>
            </w:r>
          </w:p>
        </w:tc>
      </w:tr>
      <w:tr>
        <w:tc>
          <w:tcPr>
            <w:tcW w:type="dxa" w:w="4320"/>
          </w:tcPr>
          <w:p>
            <w:r>
              <w:t>Base model</w:t>
            </w:r>
          </w:p>
        </w:tc>
        <w:tc>
          <w:tcPr>
            <w:tcW w:type="dxa" w:w="4320"/>
          </w:tcPr>
          <w:p>
            <w:r>
              <w:t>multimolecule/dnaberts (117M parameters)</w:t>
            </w:r>
          </w:p>
        </w:tc>
      </w:tr>
      <w:tr>
        <w:tc>
          <w:tcPr>
            <w:tcW w:type="dxa" w:w="4320"/>
          </w:tcPr>
          <w:p>
            <w:r>
              <w:t>Optimizer</w:t>
            </w:r>
          </w:p>
        </w:tc>
        <w:tc>
          <w:tcPr>
            <w:tcW w:type="dxa" w:w="4320"/>
          </w:tcPr>
          <w:p>
            <w:r>
              <w:t>AdamW</w:t>
            </w:r>
          </w:p>
        </w:tc>
      </w:tr>
      <w:tr>
        <w:tc>
          <w:tcPr>
            <w:tcW w:type="dxa" w:w="4320"/>
          </w:tcPr>
          <w:p>
            <w:r>
              <w:t>Learning rate</w:t>
            </w:r>
          </w:p>
        </w:tc>
        <w:tc>
          <w:tcPr>
            <w:tcW w:type="dxa" w:w="4320"/>
          </w:tcPr>
          <w:p>
            <w:r>
              <w:t>1e-5</w:t>
            </w:r>
          </w:p>
        </w:tc>
      </w:tr>
      <w:tr>
        <w:tc>
          <w:tcPr>
            <w:tcW w:type="dxa" w:w="4320"/>
          </w:tcPr>
          <w:p>
            <w:r>
              <w:t>Temperature (τ)</w:t>
            </w:r>
          </w:p>
        </w:tc>
        <w:tc>
          <w:tcPr>
            <w:tcW w:type="dxa" w:w="4320"/>
          </w:tcPr>
          <w:p>
            <w:r>
              <w:t>0.1</w:t>
            </w:r>
          </w:p>
        </w:tc>
      </w:tr>
      <w:tr>
        <w:tc>
          <w:tcPr>
            <w:tcW w:type="dxa" w:w="4320"/>
          </w:tcPr>
          <w:p>
            <w:r>
              <w:t>Batch composition</w:t>
            </w:r>
          </w:p>
        </w:tc>
        <w:tc>
          <w:tcPr>
            <w:tcW w:type="dxa" w:w="4320"/>
          </w:tcPr>
          <w:p>
            <w:r>
              <w:t>8 instances × 2 views = 16 sequences/batch</w:t>
            </w:r>
          </w:p>
        </w:tc>
      </w:tr>
      <w:tr>
        <w:tc>
          <w:tcPr>
            <w:tcW w:type="dxa" w:w="4320"/>
          </w:tcPr>
          <w:p>
            <w:r>
              <w:t>Epochs</w:t>
            </w:r>
          </w:p>
        </w:tc>
        <w:tc>
          <w:tcPr>
            <w:tcW w:type="dxa" w:w="4320"/>
          </w:tcPr>
          <w:p>
            <w:r>
              <w:t>2</w:t>
            </w:r>
          </w:p>
        </w:tc>
      </w:tr>
      <w:tr>
        <w:tc>
          <w:tcPr>
            <w:tcW w:type="dxa" w:w="4320"/>
          </w:tcPr>
          <w:p>
            <w:r>
              <w:t>Max sequence length</w:t>
            </w:r>
          </w:p>
        </w:tc>
        <w:tc>
          <w:tcPr>
            <w:tcW w:type="dxa" w:w="4320"/>
          </w:tcPr>
          <w:p>
            <w:r>
              <w:t>300 tokens</w:t>
            </w:r>
          </w:p>
        </w:tc>
      </w:tr>
      <w:tr>
        <w:tc>
          <w:tcPr>
            <w:tcW w:type="dxa" w:w="4320"/>
          </w:tcPr>
          <w:p>
            <w:r>
              <w:t>Training set size</w:t>
            </w:r>
          </w:p>
        </w:tc>
        <w:tc>
          <w:tcPr>
            <w:tcW w:type="dxa" w:w="4320"/>
          </w:tcPr>
          <w:p>
            <w:r>
              <w:t>4,000 references (train split only; held-out set strictly excluded)</w:t>
            </w:r>
          </w:p>
        </w:tc>
      </w:tr>
    </w:tbl>
    <w:p>
      <w:pPr>
        <w:pStyle w:val="Heading1"/>
      </w:pPr>
      <w:r>
        <w:t>4. Evaluation Protocol</w:t>
      </w:r>
    </w:p>
    <w:p>
      <w:r>
        <w:t>Retrieval performance is measured as Recall@K on the 1,000 held-out synthetic fragments: for each query fragment, the K nearest reference embeddings (by cosine similarity, via a FAISS flat index over the fine-tuned model's embeddings of the 4,000 training references) are retrieved, and a hit is counted if any of the top-K candidates is either the exact source reference or a sequence ≥95% identical to it (via Smith-Waterman local alignment). This mirrors the ground-truth definition used throughout this project's calibration and diagnostic work. The held-out set is disjoint from the training set by construction (Section 2), so reported accuracy reflects generalization to unseen references.</w:t>
      </w:r>
    </w:p>
    <w:p>
      <w:pPr>
        <w:pStyle w:val="Heading1"/>
      </w:pPr>
      <w:r>
        <w:t>5.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Frozen baseline (pre-trained, no fine-tuning)</w:t>
            </w:r>
          </w:p>
        </w:tc>
        <w:tc>
          <w:tcPr>
            <w:tcW w:type="dxa" w:w="2880"/>
          </w:tcPr>
          <w:p>
            <w:r>
              <w:t>Fine-tuned</w:t>
            </w:r>
          </w:p>
        </w:tc>
      </w:tr>
      <w:tr>
        <w:tc>
          <w:tcPr>
            <w:tcW w:type="dxa" w:w="2880"/>
          </w:tcPr>
          <w:p>
            <w:r>
              <w:t>Recall@1</w:t>
            </w:r>
          </w:p>
        </w:tc>
        <w:tc>
          <w:tcPr>
            <w:tcW w:type="dxa" w:w="2880"/>
          </w:tcPr>
          <w:p>
            <w:r>
              <w:t>—</w:t>
            </w:r>
          </w:p>
        </w:tc>
        <w:tc>
          <w:tcPr>
            <w:tcW w:type="dxa" w:w="2880"/>
          </w:tcPr>
          <w:p>
            <w:r>
              <w:t>69.8%</w:t>
            </w:r>
          </w:p>
        </w:tc>
      </w:tr>
      <w:tr>
        <w:tc>
          <w:tcPr>
            <w:tcW w:type="dxa" w:w="2880"/>
          </w:tcPr>
          <w:p>
            <w:r>
              <w:t>Recall@5</w:t>
            </w:r>
          </w:p>
        </w:tc>
        <w:tc>
          <w:tcPr>
            <w:tcW w:type="dxa" w:w="2880"/>
          </w:tcPr>
          <w:p>
            <w:r>
              <w:t>—</w:t>
            </w:r>
          </w:p>
        </w:tc>
        <w:tc>
          <w:tcPr>
            <w:tcW w:type="dxa" w:w="2880"/>
          </w:tcPr>
          <w:p>
            <w:r>
              <w:t>76.8%</w:t>
            </w:r>
          </w:p>
        </w:tc>
      </w:tr>
      <w:tr>
        <w:tc>
          <w:tcPr>
            <w:tcW w:type="dxa" w:w="2880"/>
          </w:tcPr>
          <w:p>
            <w:r>
              <w:t>Recall@10</w:t>
            </w:r>
          </w:p>
        </w:tc>
        <w:tc>
          <w:tcPr>
            <w:tcW w:type="dxa" w:w="2880"/>
          </w:tcPr>
          <w:p>
            <w:r>
              <w:t>17.1%</w:t>
            </w:r>
          </w:p>
        </w:tc>
        <w:tc>
          <w:tcPr>
            <w:tcW w:type="dxa" w:w="2880"/>
          </w:tcPr>
          <w:p>
            <w:r>
              <w:t>79.2%</w:t>
            </w:r>
          </w:p>
        </w:tc>
      </w:tr>
    </w:tbl>
    <w:p>
      <w:r>
        <w:rPr>
          <w:i/>
        </w:rPr>
        <w:t>(Recall@1 and Recall@5 were not separately measured for the frozen baseline in this run; Recall@10 is the primary reported comparison.)</w:t>
      </w:r>
    </w:p>
    <w:p/>
    <w:p>
      <w:r>
        <w:rPr>
          <w:b/>
        </w:rPr>
        <w:t>Fine-tuning improved Recall@10 by 62.1 percentage points (17.1% → 79.2%) on held-out data, the largest measured improvement of any species group evaluated in this project.</w:t>
      </w:r>
    </w:p>
    <w:p>
      <w:pPr>
        <w:pStyle w:val="Heading1"/>
      </w:pPr>
      <w:r>
        <w:t>6. Discussion</w:t>
      </w:r>
    </w:p>
    <w:p>
      <w:r>
        <w:t>The magnitude of improvement is consistent with the fine-tuning objective being closely matched to the evaluation task: instance-level contrastive training on fragment-to-reference pairs directly optimizes the same embedding geometry (fragment embeddings near their true source's embedding) that Recall@K measures. The disjoint train/held-out split ensures this is a measure of generalization, not memorization of the evaluation set.</w:t>
      </w:r>
    </w:p>
    <w:p>
      <w:pPr>
        <w:pStyle w:val="Heading1"/>
      </w:pPr>
      <w:r>
        <w:t>7. End-to-End Architecture Evaluation</w:t>
      </w:r>
    </w:p>
    <w:p>
      <w:r>
        <w:t>The results in Section 5 measure the embedding model in isolation (direct cosine-similarity retrieval). This is not how the model is deployed: in the production pipeline, BM25 performs the primary retrieval and the embeddings supply only MMR's diversity signal. A separate evaluation was therefore run to determine whether the fine-tuning gain survives end to end, and to settle which candidate-selection strategy (MMR or RRF) should be used in production.</w:t>
      </w:r>
    </w:p>
    <w:p>
      <w:pPr>
        <w:pStyle w:val="Heading2"/>
      </w:pPr>
      <w:r>
        <w:t>7.1 Design</w:t>
      </w:r>
    </w:p>
    <w:p>
      <w:r>
        <w:t>Four architectures were evaluated on the same 1,000 held-out fragments, each terminating in the same frozen Smith-Waterman reranker and the same 95%-identity decision threshold. Architectures B, C and D were run twice — once with frozen embeddings and once with fine-tuned embeddings — so that the only variable between paired arms is the embedding model. Architecture A is embedding-independent (BM25 is purely lexical) and therefore appears once, as the invariant reference point.</w:t>
      </w:r>
    </w:p>
    <w:p>
      <w:pPr>
        <w:pStyle w:val="ListBullet"/>
      </w:pPr>
      <w:r>
        <w:t>A — BM25 (k=6) → reranker</w:t>
      </w:r>
    </w:p>
    <w:p>
      <w:pPr>
        <w:pStyle w:val="ListBullet"/>
      </w:pPr>
      <w:r>
        <w:t>B — BM25 → MMR (λ=0.5) → reranker</w:t>
      </w:r>
    </w:p>
    <w:p>
      <w:pPr>
        <w:pStyle w:val="ListBullet"/>
      </w:pPr>
      <w:r>
        <w:t>C — DNABERT embeddings alone → reranker</w:t>
      </w:r>
    </w:p>
    <w:p>
      <w:pPr>
        <w:pStyle w:val="ListBullet"/>
      </w:pPr>
      <w:r>
        <w:t>D — RRF fusion of DNABERT + BM25 (k_const=10) → reranker</w:t>
      </w:r>
    </w:p>
    <w:p>
      <w:pPr>
        <w:pStyle w:val="Heading2"/>
      </w:pPr>
      <w:r>
        <w:t>7.2 Results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Architecture</w:t>
            </w:r>
          </w:p>
        </w:tc>
        <w:tc>
          <w:tcPr>
            <w:tcW w:type="dxa" w:w="1440"/>
          </w:tcPr>
          <w:p>
            <w:r>
              <w:t>Recall@1</w:t>
            </w:r>
          </w:p>
        </w:tc>
        <w:tc>
          <w:tcPr>
            <w:tcW w:type="dxa" w:w="1440"/>
          </w:tcPr>
          <w:p>
            <w:r>
              <w:t>Recall@10</w:t>
            </w:r>
          </w:p>
        </w:tc>
        <w:tc>
          <w:tcPr>
            <w:tcW w:type="dxa" w:w="1440"/>
          </w:tcPr>
          <w:p>
            <w:r>
              <w:t>Assigned</w:t>
            </w:r>
          </w:p>
        </w:tc>
        <w:tc>
          <w:tcPr>
            <w:tcW w:type="dxa" w:w="1440"/>
          </w:tcPr>
          <w:p>
            <w:r>
              <w:t>Accuracy on assigned</w:t>
            </w:r>
          </w:p>
        </w:tc>
        <w:tc>
          <w:tcPr>
            <w:tcW w:type="dxa" w:w="1440"/>
          </w:tcPr>
          <w:p>
            <w:r>
              <w:t>Correct calls</w:t>
            </w:r>
          </w:p>
        </w:tc>
      </w:tr>
      <w:tr>
        <w:tc>
          <w:tcPr>
            <w:tcW w:type="dxa" w:w="1440"/>
          </w:tcPr>
          <w:p>
            <w:r>
              <w:t>A: BM25 alone</w:t>
            </w:r>
          </w:p>
        </w:tc>
        <w:tc>
          <w:tcPr>
            <w:tcW w:type="dxa" w:w="1440"/>
          </w:tcPr>
          <w:p>
            <w:r>
              <w:t>78.8%</w:t>
            </w:r>
          </w:p>
        </w:tc>
        <w:tc>
          <w:tcPr>
            <w:tcW w:type="dxa" w:w="1440"/>
          </w:tcPr>
          <w:p>
            <w:r>
              <w:t>83.5%</w:t>
            </w:r>
          </w:p>
        </w:tc>
        <w:tc>
          <w:tcPr>
            <w:tcW w:type="dxa" w:w="1440"/>
          </w:tcPr>
          <w:p>
            <w:r>
              <w:t>869</w:t>
            </w:r>
          </w:p>
        </w:tc>
        <w:tc>
          <w:tcPr>
            <w:tcW w:type="dxa" w:w="1440"/>
          </w:tcPr>
          <w:p>
            <w:r>
              <w:t>90.0%</w:t>
            </w:r>
          </w:p>
        </w:tc>
        <w:tc>
          <w:tcPr>
            <w:tcW w:type="dxa" w:w="1440"/>
          </w:tcPr>
          <w:p>
            <w:r>
              <w:t>782</w:t>
            </w:r>
          </w:p>
        </w:tc>
      </w:tr>
      <w:tr>
        <w:tc>
          <w:tcPr>
            <w:tcW w:type="dxa" w:w="1440"/>
          </w:tcPr>
          <w:p>
            <w:r>
              <w:t>B: BM25 → MMR (frozen)</w:t>
            </w:r>
          </w:p>
        </w:tc>
        <w:tc>
          <w:tcPr>
            <w:tcW w:type="dxa" w:w="1440"/>
          </w:tcPr>
          <w:p>
            <w:r>
              <w:t>78.8%</w:t>
            </w:r>
          </w:p>
        </w:tc>
        <w:tc>
          <w:tcPr>
            <w:tcW w:type="dxa" w:w="1440"/>
          </w:tcPr>
          <w:p>
            <w:r>
              <w:t>83.6%</w:t>
            </w:r>
          </w:p>
        </w:tc>
        <w:tc>
          <w:tcPr>
            <w:tcW w:type="dxa" w:w="1440"/>
          </w:tcPr>
          <w:p>
            <w:r>
              <w:t>870</w:t>
            </w:r>
          </w:p>
        </w:tc>
        <w:tc>
          <w:tcPr>
            <w:tcW w:type="dxa" w:w="1440"/>
          </w:tcPr>
          <w:p>
            <w:r>
              <w:t>89.9%</w:t>
            </w:r>
          </w:p>
        </w:tc>
        <w:tc>
          <w:tcPr>
            <w:tcW w:type="dxa" w:w="1440"/>
          </w:tcPr>
          <w:p>
            <w:r>
              <w:t>782</w:t>
            </w:r>
          </w:p>
        </w:tc>
      </w:tr>
      <w:tr>
        <w:tc>
          <w:tcPr>
            <w:tcW w:type="dxa" w:w="1440"/>
          </w:tcPr>
          <w:p>
            <w:r>
              <w:t>B: BM25 → MMR (fine-tuned)</w:t>
            </w:r>
          </w:p>
        </w:tc>
        <w:tc>
          <w:tcPr>
            <w:tcW w:type="dxa" w:w="1440"/>
          </w:tcPr>
          <w:p>
            <w:r>
              <w:t>78.8%</w:t>
            </w:r>
          </w:p>
        </w:tc>
        <w:tc>
          <w:tcPr>
            <w:tcW w:type="dxa" w:w="1440"/>
          </w:tcPr>
          <w:p>
            <w:r>
              <w:t>83.7%</w:t>
            </w:r>
          </w:p>
        </w:tc>
        <w:tc>
          <w:tcPr>
            <w:tcW w:type="dxa" w:w="1440"/>
          </w:tcPr>
          <w:p>
            <w:r>
              <w:t>870</w:t>
            </w:r>
          </w:p>
        </w:tc>
        <w:tc>
          <w:tcPr>
            <w:tcW w:type="dxa" w:w="1440"/>
          </w:tcPr>
          <w:p>
            <w:r>
              <w:t>90.1%</w:t>
            </w:r>
          </w:p>
        </w:tc>
        <w:tc>
          <w:tcPr>
            <w:tcW w:type="dxa" w:w="1440"/>
          </w:tcPr>
          <w:p>
            <w:r>
              <w:t>784</w:t>
            </w:r>
          </w:p>
        </w:tc>
      </w:tr>
      <w:tr>
        <w:tc>
          <w:tcPr>
            <w:tcW w:type="dxa" w:w="1440"/>
          </w:tcPr>
          <w:p>
            <w:r>
              <w:t>C: DNABERT alone (frozen)</w:t>
            </w:r>
          </w:p>
        </w:tc>
        <w:tc>
          <w:tcPr>
            <w:tcW w:type="dxa" w:w="1440"/>
          </w:tcPr>
          <w:p>
            <w:r>
              <w:t>7.0%</w:t>
            </w:r>
          </w:p>
        </w:tc>
        <w:tc>
          <w:tcPr>
            <w:tcW w:type="dxa" w:w="1440"/>
          </w:tcPr>
          <w:p>
            <w:r>
              <w:t>17.1%</w:t>
            </w:r>
          </w:p>
        </w:tc>
        <w:tc>
          <w:tcPr>
            <w:tcW w:type="dxa" w:w="1440"/>
          </w:tcPr>
          <w:p>
            <w:r>
              <w:t>207</w:t>
            </w:r>
          </w:p>
        </w:tc>
        <w:tc>
          <w:tcPr>
            <w:tcW w:type="dxa" w:w="1440"/>
          </w:tcPr>
          <w:p>
            <w:r>
              <w:t>74.9%</w:t>
            </w:r>
          </w:p>
        </w:tc>
        <w:tc>
          <w:tcPr>
            <w:tcW w:type="dxa" w:w="1440"/>
          </w:tcPr>
          <w:p>
            <w:r>
              <w:t>155</w:t>
            </w:r>
          </w:p>
        </w:tc>
      </w:tr>
      <w:tr>
        <w:tc>
          <w:tcPr>
            <w:tcW w:type="dxa" w:w="1440"/>
          </w:tcPr>
          <w:p>
            <w:r>
              <w:t>C: DNABERT alone (fine-tuned)</w:t>
            </w:r>
          </w:p>
        </w:tc>
        <w:tc>
          <w:tcPr>
            <w:tcW w:type="dxa" w:w="1440"/>
          </w:tcPr>
          <w:p>
            <w:r>
              <w:t>69.8%</w:t>
            </w:r>
          </w:p>
        </w:tc>
        <w:tc>
          <w:tcPr>
            <w:tcW w:type="dxa" w:w="1440"/>
          </w:tcPr>
          <w:p>
            <w:r>
              <w:t>79.2%</w:t>
            </w:r>
          </w:p>
        </w:tc>
        <w:tc>
          <w:tcPr>
            <w:tcW w:type="dxa" w:w="1440"/>
          </w:tcPr>
          <w:p>
            <w:r>
              <w:t>839</w:t>
            </w:r>
          </w:p>
        </w:tc>
        <w:tc>
          <w:tcPr>
            <w:tcW w:type="dxa" w:w="1440"/>
          </w:tcPr>
          <w:p>
            <w:r>
              <w:t>89.6%</w:t>
            </w:r>
          </w:p>
        </w:tc>
        <w:tc>
          <w:tcPr>
            <w:tcW w:type="dxa" w:w="1440"/>
          </w:tcPr>
          <w:p>
            <w:r>
              <w:t>752</w:t>
            </w:r>
          </w:p>
        </w:tc>
      </w:tr>
      <w:tr>
        <w:tc>
          <w:tcPr>
            <w:tcW w:type="dxa" w:w="1440"/>
          </w:tcPr>
          <w:p>
            <w:r>
              <w:t>D: RRF (frozen)</w:t>
            </w:r>
          </w:p>
        </w:tc>
        <w:tc>
          <w:tcPr>
            <w:tcW w:type="dxa" w:w="1440"/>
          </w:tcPr>
          <w:p>
            <w:r>
              <w:t>12.2%</w:t>
            </w:r>
          </w:p>
        </w:tc>
        <w:tc>
          <w:tcPr>
            <w:tcW w:type="dxa" w:w="1440"/>
          </w:tcPr>
          <w:p>
            <w:r>
              <w:t>82.9%</w:t>
            </w:r>
          </w:p>
        </w:tc>
        <w:tc>
          <w:tcPr>
            <w:tcW w:type="dxa" w:w="1440"/>
          </w:tcPr>
          <w:p>
            <w:r>
              <w:t>867</w:t>
            </w:r>
          </w:p>
        </w:tc>
        <w:tc>
          <w:tcPr>
            <w:tcW w:type="dxa" w:w="1440"/>
          </w:tcPr>
          <w:p>
            <w:r>
              <w:t>90.0%</w:t>
            </w:r>
          </w:p>
        </w:tc>
        <w:tc>
          <w:tcPr>
            <w:tcW w:type="dxa" w:w="1440"/>
          </w:tcPr>
          <w:p>
            <w:r>
              <w:t>780</w:t>
            </w:r>
          </w:p>
        </w:tc>
      </w:tr>
      <w:tr>
        <w:tc>
          <w:tcPr>
            <w:tcW w:type="dxa" w:w="1440"/>
          </w:tcPr>
          <w:p>
            <w:r>
              <w:t>D: RRF (fine-tuned)</w:t>
            </w:r>
          </w:p>
        </w:tc>
        <w:tc>
          <w:tcPr>
            <w:tcW w:type="dxa" w:w="1440"/>
          </w:tcPr>
          <w:p>
            <w:r>
              <w:t>75.2%</w:t>
            </w:r>
          </w:p>
        </w:tc>
        <w:tc>
          <w:tcPr>
            <w:tcW w:type="dxa" w:w="1440"/>
          </w:tcPr>
          <w:p>
            <w:r>
              <w:t>83.3%</w:t>
            </w:r>
          </w:p>
        </w:tc>
        <w:tc>
          <w:tcPr>
            <w:tcW w:type="dxa" w:w="1440"/>
          </w:tcPr>
          <w:p>
            <w:r>
              <w:t>867</w:t>
            </w:r>
          </w:p>
        </w:tc>
        <w:tc>
          <w:tcPr>
            <w:tcW w:type="dxa" w:w="1440"/>
          </w:tcPr>
          <w:p>
            <w:r>
              <w:t>91.2%</w:t>
            </w:r>
          </w:p>
        </w:tc>
        <w:tc>
          <w:tcPr>
            <w:tcW w:type="dxa" w:w="1440"/>
          </w:tcPr>
          <w:p>
            <w:r>
              <w:t>791</w:t>
            </w:r>
          </w:p>
        </w:tc>
      </w:tr>
    </w:tbl>
    <w:p>
      <w:pPr>
        <w:pStyle w:val="Heading2"/>
      </w:pPr>
      <w:r>
        <w:t>7.3 Interpretation</w:t>
      </w:r>
    </w:p>
    <w:p>
      <w:r>
        <w:t>The fine-tuning gain does not survive end to end. Comparing the paired B arms, Recall@10 moves from 83.6% to 83.7% and correct calls from 782 to 784 out of 1,000 — a difference within noise, despite the same model improving from 17.1% to 79.2% in isolation (arm C). The explanation is structural: MMR reorders candidates within the pool BM25 has already retrieved, so a better embedding model cannot introduce candidates BM25 never surfaced. The one measurable benefit is to MMR's stated purpose — mean pairwise candidate-set similarity falls from 0.877 to 0.705, i.e. the fine-tuned embeddings produce a substantially less redundant candidate set.</w:t>
      </w:r>
    </w:p>
    <w:p>
      <w:r>
        <w:t>Fine-tuning does, however, transform RRF. Recall@1 rises from 12.2% to 75.2%, because with frozen embeddings RRF fuses a weak ranked list into a strong one and corrupts the top rank; once the embedding list is competitive, that damage largely disappears.</w:t>
      </w:r>
    </w:p>
    <w:p>
      <w:r>
        <w:t>On the production choice between MMR and RRF with the fine-tuned model, the trade-off is genuine but small: RRF yields 7 more correct calls (791 vs 784) and is 1.1 percentage points more accurate on assigned fragments, while MMR retains higher Recall@1 (78.8% vs 75.2%), higher Recall@10, and assigns 3 more fragments. Because RRF additionally requires running the embedding model at query time — whereas BM25 → MMR needs embeddings only on the reference side, which can be precomputed — BM25 → MMR remains the recommended production configuration. This matches the conclusion reached previously on fish data, and now holds even when the embedding model is substantially stronger.</w:t>
      </w:r>
    </w:p>
    <w:p>
      <w:pPr>
        <w:pStyle w:val="Heading1"/>
      </w:pPr>
      <w:r>
        <w:t>8. Reproducibility</w:t>
      </w:r>
    </w:p>
    <w:p>
      <w:r>
        <w:rPr>
          <w:rFonts w:ascii="Consolas" w:hAnsi="Consolas"/>
        </w:rPr>
        <w:t>python -m src.finetune_dnabert_fragment bacteria models/dnaberts_finetuned_bacteria_v2 2</w:t>
      </w:r>
    </w:p>
    <w:p>
      <w:r>
        <w:rPr>
          <w:rFonts w:ascii="Consolas" w:hAnsi="Consolas"/>
        </w:rPr>
        <w:t>python -m src.evaluate_finetuned bacteria models/dnaberts_finetuned_bacteria_v2</w:t>
      </w:r>
    </w:p>
    <w:p>
      <w:r>
        <w:rPr>
          <w:rFonts w:ascii="Consolas" w:hAnsi="Consolas"/>
        </w:rPr>
        <w:t>python -m src.finetuned_architecture_evaluation</w:t>
      </w:r>
    </w:p>
    <w:p>
      <w:r>
        <w:t>Fine-tuning implementation: src/finetune_dnabert_fragment.py. Isolated-retrieval evaluation: src/evaluate_finetuned.py. End-to-end architecture evaluation: src/finetuned_architecture_evaluation.py. Full technical narrative: Explanation.md, Parts 12-13.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