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eDNA Reference Matching</w:t>
      </w:r>
    </w:p>
    <w:p>
      <w:pPr>
        <w:jc w:val="center"/>
      </w:pPr>
      <w:r>
        <w:rPr>
          <w:b/>
          <w:color w:val="1F354D"/>
          <w:sz w:val="30"/>
        </w:rPr>
        <w:t>Proof of Concept — BM25, RRF, and MMR Retrieval Investigation</w:t>
        <w:br/>
        <w:t>(Stages 0–3, Final End-to-End Evaluation)</w:t>
      </w:r>
    </w:p>
    <w:p>
      <w:pPr>
        <w:jc w:val="center"/>
      </w:pPr>
      <w:r>
        <w:rPr>
          <w:color w:val="404040"/>
          <w:sz w:val="21"/>
        </w:rPr>
        <w:t>Report date: 26 August 2026</w:t>
        <w:br/>
        <w:t>Dataset: ERR16922870 (Indian Ocean Territories eDNA, MitoFish 16S), first 5,000 reads</w:t>
        <w:br/>
        <w:t>Baseline: Part 4 (DNABERT + independent nucleotide reranking) — frozen and reproduced, not modified</w:t>
      </w:r>
    </w:p>
    <w:p>
      <w:r>
        <w:br w:type="page"/>
      </w:r>
    </w:p>
    <w:p>
      <w:pPr>
        <w:pStyle w:val="Heading1"/>
      </w:pPr>
      <w:r>
        <w:t>Executive Summary</w:t>
      </w:r>
    </w:p>
    <w:p>
      <w:r>
        <w:t>Part 4 of this project established a frozen baseline: DNABERT embedding retrieval (top-10) followed by an independent Smith-Waterman nucleotide realignment and a 95%-identity decision threshold, producing 474 of 5,000 real reads assigned (9.5%) at 94.6% held-out calibration accuracy. The professor proposed investigating three additional retrieval/ranking methods — BM25, Maximal Marginal Relevance (MMR), and Reciprocal Rank Fusion (RRF) — alongside the existing nucleotide reranking, with the explicit instruction not to chain them blindly but to determine, with evidence, how (or whether) each one belongs in the architecture.</w:t>
      </w:r>
    </w:p>
    <w:p>
      <w:r>
        <w:t>This report documents a staged, evidence-gated investigation (Stage 0 through Stage 3, plus a final end-to-end evaluation) conducted entirely on a held-out set of 1,000 synthetic MitoFish fragments, using the identical ground-truth definition Part 4's own calibration already established. Each new method was only implemented after a cheap diagnostic justified building it, and every method's contribution was measured, never assumed.</w:t>
      </w:r>
    </w:p>
    <w:p>
      <w:r>
        <w:rPr>
          <w:b/>
        </w:rPr>
        <w:t xml:space="preserve">Headline result: </w:t>
      </w:r>
      <w:r>
        <w:t>BM25 (a lexical k-mer retrieval method) dramatically outperforms DNABERT on this task (Recall@10 94.6% vs. 58.2%), RRF fusion of DNABERT+BM25 provides no improvement over BM25 alone, and MMR — applied to diversify BM25's candidate pool — measurably reduces candidate redundancy at no cost to retrieval recall or final decision accuracy. The final selected architecture is BM25 → MMR → the frozen nucleotide reranker → the frozen 95% threshold, which assigns 94.8% of held-out fragments at 98.7% accuracy, compared to the DNABERT-only baseline's 59.8% assigned at 94.6% accuracy on the same held-out set.</w:t>
      </w:r>
    </w:p>
    <w:p>
      <w:r>
        <w:br w:type="page"/>
      </w:r>
    </w:p>
    <w:p>
      <w:pPr>
        <w:pStyle w:val="Heading1"/>
      </w:pPr>
      <w:r>
        <w:t>1. Project Background and Objective</w:t>
      </w:r>
    </w:p>
    <w:p>
      <w:r>
        <w:t>The project builds an eDNA taxonomy pipeline for environmental DNA metabarcoding reads: convert short sequencing reads into candidate reference matches, verify candidates with real nucleotide alignment, and decide whether each read can be confidently assigned to a reference or should be left unclassified. Prior stages of the project (documented in Explanation.md) established, in order: SILVA full-length matching failed (chance-level accuracy); SILVA region-specific extraction helped but used the wrong database family; MitoFish (fish mitochondrial 16S) is the biologically correct database for this dataset's actual marker (16SFish/D); and DNABERT-only retrieval into MitoFish suffered from severe "hubness" (a handful of references absorbing most matches). Part 4 fixed the hubness problem by adding an independent nucleotide-alignment reranking stage on top of DNABERT's top-10 retrieval, which is the frozen baseline this report builds on.</w:t>
      </w:r>
    </w:p>
    <w:p>
      <w:pPr>
        <w:pStyle w:val="Heading2"/>
      </w:pPr>
      <w:r>
        <w:t>1.1 Part 4 Baseline (frozen, reproduced, not modified)</w:t>
      </w:r>
    </w:p>
    <w:tbl>
      <w:tblPr>
        <w:tblStyle w:val="LightGrid-Accent1"/>
        <w:tblW w:type="auto" w:w="0"/>
        <w:jc w:val="center"/>
        <w:tblLook w:firstColumn="1" w:firstRow="1" w:lastColumn="0" w:lastRow="0" w:noHBand="0" w:noVBand="1" w:val="04A0"/>
      </w:tblPr>
      <w:tblGrid>
        <w:gridCol w:w="4320"/>
        <w:gridCol w:w="4320"/>
      </w:tblGrid>
      <w:tr>
        <w:tc>
          <w:tcPr>
            <w:tcW w:type="dxa" w:w="4320"/>
            <w:shd w:fill="1F354D"/>
          </w:tcPr>
          <w:p>
            <w:r>
              <w:rPr>
                <w:b/>
                <w:color w:val="FFFFFF"/>
                <w:sz w:val="20"/>
              </w:rPr>
              <w:t>Metric</w:t>
            </w:r>
          </w:p>
        </w:tc>
        <w:tc>
          <w:tcPr>
            <w:tcW w:type="dxa" w:w="5040"/>
            <w:shd w:fill="1F354D"/>
          </w:tcPr>
          <w:p>
            <w:r>
              <w:rPr>
                <w:b/>
                <w:color w:val="FFFFFF"/>
                <w:sz w:val="20"/>
              </w:rPr>
              <w:t>Value</w:t>
            </w:r>
          </w:p>
        </w:tc>
      </w:tr>
      <w:tr>
        <w:tc>
          <w:tcPr>
            <w:tcW w:type="dxa" w:w="4320"/>
          </w:tcPr>
          <w:p>
            <w:r>
              <w:rPr>
                <w:sz w:val="20"/>
              </w:rPr>
              <w:t>Reads assigned</w:t>
            </w:r>
          </w:p>
        </w:tc>
        <w:tc>
          <w:tcPr>
            <w:tcW w:type="dxa" w:w="5040"/>
          </w:tcPr>
          <w:p>
            <w:r>
              <w:rPr>
                <w:sz w:val="20"/>
              </w:rPr>
              <w:t>474 / 5,000 (9.5%)</w:t>
            </w:r>
          </w:p>
        </w:tc>
      </w:tr>
      <w:tr>
        <w:tc>
          <w:tcPr>
            <w:tcW w:type="dxa" w:w="4320"/>
          </w:tcPr>
          <w:p>
            <w:r>
              <w:rPr>
                <w:sz w:val="20"/>
              </w:rPr>
              <w:t>Distinct references matched</w:t>
            </w:r>
          </w:p>
        </w:tc>
        <w:tc>
          <w:tcPr>
            <w:tcW w:type="dxa" w:w="5040"/>
          </w:tcPr>
          <w:p>
            <w:r>
              <w:rPr>
                <w:sz w:val="20"/>
              </w:rPr>
              <w:t>27</w:t>
            </w:r>
          </w:p>
        </w:tc>
      </w:tr>
      <w:tr>
        <w:tc>
          <w:tcPr>
            <w:tcW w:type="dxa" w:w="4320"/>
          </w:tcPr>
          <w:p>
            <w:r>
              <w:rPr>
                <w:sz w:val="20"/>
              </w:rPr>
              <w:t>Median nucleotide identity</w:t>
            </w:r>
          </w:p>
        </w:tc>
        <w:tc>
          <w:tcPr>
            <w:tcW w:type="dxa" w:w="5040"/>
          </w:tcPr>
          <w:p>
            <w:r>
              <w:rPr>
                <w:sz w:val="20"/>
              </w:rPr>
              <w:t>98.4%</w:t>
            </w:r>
          </w:p>
        </w:tc>
      </w:tr>
      <w:tr>
        <w:tc>
          <w:tcPr>
            <w:tcW w:type="dxa" w:w="4320"/>
          </w:tcPr>
          <w:p>
            <w:r>
              <w:rPr>
                <w:sz w:val="20"/>
              </w:rPr>
              <w:t>Median read coverage</w:t>
            </w:r>
          </w:p>
        </w:tc>
        <w:tc>
          <w:tcPr>
            <w:tcW w:type="dxa" w:w="5040"/>
          </w:tcPr>
          <w:p>
            <w:r>
              <w:rPr>
                <w:sz w:val="20"/>
              </w:rPr>
              <w:t>~100%</w:t>
            </w:r>
          </w:p>
        </w:tc>
      </w:tr>
      <w:tr>
        <w:tc>
          <w:tcPr>
            <w:tcW w:type="dxa" w:w="4320"/>
          </w:tcPr>
          <w:p>
            <w:r>
              <w:rPr>
                <w:sz w:val="20"/>
              </w:rPr>
              <w:t>Held-out calibration accuracy</w:t>
            </w:r>
          </w:p>
        </w:tc>
        <w:tc>
          <w:tcPr>
            <w:tcW w:type="dxa" w:w="5040"/>
          </w:tcPr>
          <w:p>
            <w:r>
              <w:rPr>
                <w:sz w:val="20"/>
              </w:rPr>
              <w:t>94.6% (at 95% identity threshold)</w:t>
            </w:r>
          </w:p>
        </w:tc>
      </w:tr>
      <w:tr>
        <w:tc>
          <w:tcPr>
            <w:tcW w:type="dxa" w:w="4320"/>
          </w:tcPr>
          <w:p>
            <w:r>
              <w:rPr>
                <w:sz w:val="20"/>
              </w:rPr>
              <w:t>Held-out cases confidently matched</w:t>
            </w:r>
          </w:p>
        </w:tc>
        <w:tc>
          <w:tcPr>
            <w:tcW w:type="dxa" w:w="5040"/>
          </w:tcPr>
          <w:p>
            <w:r>
              <w:rPr>
                <w:sz w:val="20"/>
              </w:rPr>
              <w:t>59.8%</w:t>
            </w:r>
          </w:p>
        </w:tc>
      </w:tr>
      <w:tr>
        <w:tc>
          <w:tcPr>
            <w:tcW w:type="dxa" w:w="4320"/>
          </w:tcPr>
          <w:p>
            <w:r>
              <w:rPr>
                <w:sz w:val="20"/>
              </w:rPr>
              <w:t>Species plausibility (NCBI lookup)</w:t>
            </w:r>
          </w:p>
        </w:tc>
        <w:tc>
          <w:tcPr>
            <w:tcW w:type="dxa" w:w="5040"/>
          </w:tcPr>
          <w:p>
            <w:r>
              <w:rPr>
                <w:sz w:val="20"/>
              </w:rPr>
              <w:t>93.9% Scombridae (tuna family) — biologically expected for Indian Ocean seawater</w:t>
            </w:r>
          </w:p>
        </w:tc>
      </w:tr>
    </w:tbl>
    <w:p>
      <w:pPr>
        <w:pStyle w:val="Heading1"/>
      </w:pPr>
      <w:r>
        <w:t>2. What Changes Were Asked</w:t>
      </w:r>
    </w:p>
    <w:p>
      <w:r>
        <w:t>The professor's proposal, given the Part 4 result, was to investigate four items:</w:t>
      </w:r>
    </w:p>
    <w:p>
      <w:pPr>
        <w:pStyle w:val="ListBullet"/>
      </w:pPr>
      <w:r>
        <w:t>BM25 — a classical lexical/term-frequency retrieval method</w:t>
      </w:r>
    </w:p>
    <w:p>
      <w:pPr>
        <w:pStyle w:val="ListBullet"/>
      </w:pPr>
      <w:r>
        <w:t>MMR (Maximal Marginal Relevance) — a relevance/diversity trade-off candidate selector</w:t>
      </w:r>
    </w:p>
    <w:p>
      <w:pPr>
        <w:pStyle w:val="ListBullet"/>
      </w:pPr>
      <w:r>
        <w:t>RRF (Reciprocal Rank Fusion) — a rank-based method for combining independent retrieval rankings</w:t>
      </w:r>
    </w:p>
    <w:p>
      <w:pPr>
        <w:pStyle w:val="ListBullet"/>
      </w:pPr>
      <w:r>
        <w:t>The existing nucleotide reranking — to determine whether it should remain the final stage</w:t>
      </w:r>
    </w:p>
    <w:p>
      <w:r>
        <w:t>The explicit instruction was that this was not a request to chain all four methods together blindly. Before implementing anything, the architecture had to be audited and a design review produced, determining — with justification — whether each method was even appropriate for DNA retrieval on this specific corpus, and exactly where each one would fit relative to the frozen Part 4 components. Additional hard constraints applied throughout every stage:</w:t>
      </w:r>
    </w:p>
    <w:p>
      <w:pPr>
        <w:pStyle w:val="ListBullet"/>
      </w:pPr>
      <w:r>
        <w:t>Part 4 must remain completely frozen and reproducible as the baseline</w:t>
      </w:r>
    </w:p>
    <w:p>
      <w:pPr>
        <w:pStyle w:val="ListBullet"/>
      </w:pPr>
      <w:r>
        <w:t>The MitoFish database, primers, extracted region, and calibration methodology must not change</w:t>
      </w:r>
    </w:p>
    <w:p>
      <w:pPr>
        <w:pStyle w:val="ListBullet"/>
      </w:pPr>
      <w:r>
        <w:t>The 95% identity decision threshold must not be altered</w:t>
      </w:r>
    </w:p>
    <w:p>
      <w:pPr>
        <w:pStyle w:val="ListBullet"/>
      </w:pPr>
      <w:r>
        <w:t>No results may be invented, estimated, or reported without an actual code execution behind them</w:t>
      </w:r>
    </w:p>
    <w:p>
      <w:pPr>
        <w:pStyle w:val="ListBullet"/>
      </w:pPr>
      <w:r>
        <w:t>No method may be adopted merely because it was requested — evidence must justify it, or it must be rejected</w:t>
      </w:r>
    </w:p>
    <w:p>
      <w:pPr>
        <w:pStyle w:val="ListBullet"/>
      </w:pPr>
      <w:r>
        <w:t>Every new stage's code and outputs must be kept separate from Part 4's and from each other's frozen results</w:t>
      </w:r>
    </w:p>
    <w:p>
      <w:r>
        <w:br w:type="page"/>
      </w:r>
    </w:p>
    <w:p>
      <w:pPr>
        <w:pStyle w:val="Heading1"/>
      </w:pPr>
      <w:r>
        <w:t>3. Methodology (Latest)</w:t>
      </w:r>
    </w:p>
    <w:p>
      <w:r>
        <w:t>Every experiment in this report — Stage 0 through the final end-to-end evaluation — runs on the identical set of 1,000 held-out synthetic MitoFish fragments, generated once and reused throughout (random seed 42, 20% holdout fraction, fragment lengths 118–140bp matching the real read-length distribution, cut from random positions of held-out full reference sequences). This guarantees every method is compared on exactly the same test cases.</w:t>
      </w:r>
    </w:p>
    <w:p>
      <w:r>
        <w:t>Ground truth ("correct"): a candidate counts as correct if its full reference sequence is either identical to, or at least 95% identical to (via Smith-Waterman alignment), the true held-out source sequence — not exact accession-ID matching. This is the same definition Part 4's own calibration established, because MitoFish contains many different accessions that share identical or near-identical sequences (documented redundancy).</w:t>
      </w:r>
    </w:p>
    <w:p>
      <w:r>
        <w:t>Leakage prevention: for every calibration/evaluation step, any retrieval index (DNABERT FAISS index or the new BM25 k-mer index) is built only over the TRAIN partition of the reference table; the held-out fragments' own parent sequences are never present in the index they are queried against.</w:t>
      </w:r>
    </w:p>
    <w:p>
      <w:pPr>
        <w:pStyle w:val="Heading2"/>
      </w:pPr>
      <w:r>
        <w:t>3.1 Stage 0 — Diagnostics (justifying the investigation at all)</w:t>
      </w:r>
    </w:p>
    <w:p>
      <w:r>
        <w:t>Before building anything new, two diagnostics measured whether DNABERT's retrieval was actually a bottleneck worth addressing:</w:t>
      </w:r>
    </w:p>
    <w:tbl>
      <w:tblPr>
        <w:tblStyle w:val="LightGrid-Accent1"/>
        <w:tblW w:type="auto" w:w="0"/>
        <w:jc w:val="center"/>
        <w:tblLook w:firstColumn="1" w:firstRow="1" w:lastColumn="0" w:lastRow="0" w:noHBand="0" w:noVBand="1" w:val="04A0"/>
      </w:tblPr>
      <w:tblGrid>
        <w:gridCol w:w="4320"/>
        <w:gridCol w:w="4320"/>
      </w:tblGrid>
      <w:tr>
        <w:tc>
          <w:tcPr>
            <w:tcW w:type="dxa" w:w="4320"/>
            <w:shd w:fill="1F354D"/>
          </w:tcPr>
          <w:p>
            <w:r>
              <w:rPr>
                <w:b/>
                <w:color w:val="FFFFFF"/>
                <w:sz w:val="20"/>
              </w:rPr>
              <w:t>Diagnostic</w:t>
            </w:r>
          </w:p>
        </w:tc>
        <w:tc>
          <w:tcPr>
            <w:tcW w:type="dxa" w:w="4320"/>
            <w:shd w:fill="1F354D"/>
          </w:tcPr>
          <w:p>
            <w:r>
              <w:rPr>
                <w:b/>
                <w:color w:val="FFFFFF"/>
                <w:sz w:val="20"/>
              </w:rPr>
              <w:t>Finding</w:t>
            </w:r>
          </w:p>
        </w:tc>
      </w:tr>
      <w:tr>
        <w:tc>
          <w:tcPr>
            <w:tcW w:type="dxa" w:w="4320"/>
          </w:tcPr>
          <w:p>
            <w:r>
              <w:rPr>
                <w:sz w:val="20"/>
              </w:rPr>
              <w:t>DNABERT Recall@10 (held-out)</w:t>
            </w:r>
          </w:p>
        </w:tc>
        <w:tc>
          <w:tcPr>
            <w:tcW w:type="dxa" w:w="4320"/>
          </w:tcPr>
          <w:p>
            <w:r>
              <w:rPr>
                <w:sz w:val="20"/>
              </w:rPr>
              <w:t>58.2% — the correct reference is entirely absent from DNABERT's top-10 in 41.8% of cases</w:t>
            </w:r>
          </w:p>
        </w:tc>
      </w:tr>
      <w:tr>
        <w:tc>
          <w:tcPr>
            <w:tcW w:type="dxa" w:w="4320"/>
          </w:tcPr>
          <w:p>
            <w:r>
              <w:rPr>
                <w:sz w:val="20"/>
              </w:rPr>
              <w:t>DNABERT top-10 redundancy</w:t>
            </w:r>
          </w:p>
        </w:tc>
        <w:tc>
          <w:tcPr>
            <w:tcW w:type="dxa" w:w="4320"/>
          </w:tcPr>
          <w:p>
            <w:r>
              <w:rPr>
                <w:sz w:val="20"/>
              </w:rPr>
              <w:t>Mean pairwise embedding similarity 0.86 vs. a 0.50 random background; 91–98% of candidate sets contain a near-duplicate pair</w:t>
            </w:r>
          </w:p>
        </w:tc>
      </w:tr>
    </w:tbl>
    <w:p>
      <w:r>
        <w:t>Both diagnostics justified further investigation: retrieval recall was far from saturated, and candidate sets were heavily redundant — exactly the two failure modes BM25 (recall) and MMR (redundancy) are suited to address.</w:t>
      </w:r>
    </w:p>
    <w:p>
      <w:pPr>
        <w:pStyle w:val="Heading2"/>
      </w:pPr>
      <w:r>
        <w:t>3.2 Stage 1 — BM25</w:t>
      </w:r>
    </w:p>
    <w:p>
      <w:r>
        <w:t>BM25 was implemented from scratch (a plain Python inverted index, Okapi scoring with literature-default k1=1.5, b=0.75 — not tuned on this data) over overlapping k-mer tokens (forward strand only, ambiguous bases skipped). The k-mer length was chosen empirically on the held-out set only (k ∈ {4, 6, 8} swept; k=6 selected on Recall@10), never on real-read outcomes.</w:t>
      </w:r>
    </w:p>
    <w:p>
      <w:pPr>
        <w:pStyle w:val="Heading2"/>
      </w:pPr>
      <w:r>
        <w:t>3.3 Stage 2 — Reciprocal Rank Fusion (RRF)</w:t>
      </w:r>
    </w:p>
    <w:p>
      <w:r>
        <w:t>RRF fuses DNABERT's and BM25's independently ranked top-10 lists by rank position (RRF(d) = Σ 1/(k_const + rank(d))), avoiding the need to calibrate DNABERT's cosine-similarity scale against BM25's unbounded lexical score. The fusion constant k_const was swept (1, 5, 10, 20, 30, 40, 60, 100) on the held-out set rather than assumed from the literature default of 60.</w:t>
      </w:r>
    </w:p>
    <w:p>
      <w:pPr>
        <w:pStyle w:val="Heading2"/>
      </w:pPr>
      <w:r>
        <w:t>3.4 Stage 3 — MMR</w:t>
      </w:r>
    </w:p>
    <w:p>
      <w:r>
        <w:t>MMR was implemented only after a dedicated redundancy diagnostic (Task 1) confirmed BM25's own top-10 candidate sets are at least as redundant as DNABERT's. MMR greedily selects a diverse top-10 from a wider BM25 candidate pool (top-30 — retrieved at no extra cost, since BM25 scores every matching document regardless of how many are returned), trading relevance against similarity to already-selected candidates: MMR(d) = λ·relevance(d) − (1−λ)·max sim(d, selected). Relevance is BM25's own score, min-max normalized per query; similarity reuses the existing, frozen DNABERT reference embeddings — no new representation was introduced. λ was swept over {0.5, 0.6, 0.7, 0.8, 0.9} on the held-out set.</w:t>
      </w:r>
    </w:p>
    <w:p>
      <w:r>
        <w:rPr>
          <w:b/>
        </w:rPr>
        <w:t xml:space="preserve">Correction made before trusting any MMR result: </w:t>
      </w:r>
      <w:r>
        <w:t>an initial implementation fed MMR exactly BM25's own top-10 and asked it to select 10 — a no-op for candidate-set composition, since MMR could only reorder, never trade a redundant candidate for a different one. This was caught by inspecting the first run's output (redundancy metrics were identical at every λ) before it was reported, and fixed by widening the input pool to top-30 before re-running.</w:t>
      </w:r>
    </w:p>
    <w:p>
      <w:pPr>
        <w:pStyle w:val="Heading2"/>
      </w:pPr>
      <w:r>
        <w:t>3.5 Final Evaluation — end-to-end through the frozen reranker</w:t>
      </w:r>
    </w:p>
    <w:p>
      <w:r>
        <w:t>Four architectures were run end-to-end through the unmodified nucleotide_rerank.rerank_candidates() function and the frozen 95% identity threshold, applied identically to all four (no per-architecture re-tuning, which would constitute tuning against the evaluation set): (A) BM25 alone, (B) BM25 → MMR, (C) DNABERT alone (the Part 4 baseline, reproduced as a correctness check), and (D) RRF (DNABERT + BM25).</w:t>
      </w:r>
    </w:p>
    <w:p>
      <w:r>
        <w:br w:type="page"/>
      </w:r>
    </w:p>
    <w:p>
      <w:pPr>
        <w:pStyle w:val="Heading1"/>
      </w:pPr>
      <w:r>
        <w:t>4. Architecture</w:t>
      </w:r>
    </w:p>
    <w:p>
      <w:r>
        <w:t>The final selected architecture, shown below, keeps every Part 4 component (blue) completely frozen and unmodified. Only the retrieval stage (green) — what candidates get proposed to the reranker — changed.</w:t>
      </w:r>
    </w:p>
    <w:p>
      <w:pPr>
        <w:jc w:val="center"/>
      </w:pPr>
      <w:r>
        <w:drawing>
          <wp:inline xmlns:a="http://schemas.openxmlformats.org/drawingml/2006/main" xmlns:pic="http://schemas.openxmlformats.org/drawingml/2006/picture">
            <wp:extent cx="4206240" cy="607256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206240" cy="6072564"/>
                    </a:xfrm>
                    <a:prstGeom prst="rect"/>
                  </pic:spPr>
                </pic:pic>
              </a:graphicData>
            </a:graphic>
          </wp:inline>
        </w:drawing>
      </w:r>
    </w:p>
    <w:p>
      <w:pPr>
        <w:jc w:val="center"/>
      </w:pPr>
      <w:r>
        <w:rPr>
          <w:i/>
          <w:color w:val="404040"/>
          <w:sz w:val="19"/>
        </w:rPr>
        <w:t>Figure 1 — Final architecture. Green = new components from this investigation; blue = frozen Part 4 components, unmodified.</w:t>
      </w:r>
    </w:p>
    <w:p>
      <w:r>
        <w:t>This structure reflects the central architectural fact established during the initial audit: the nucleotide reranker already ignores whatever upstream retrieval score a candidate arrives with — it re-ranks purely by real Smith-Waterman alignment identity. That means every new retrieval method in this investigation only ever changes which candidates are proposed to the reranker, never how the final decision is made.</w:t>
      </w:r>
    </w:p>
    <w:p>
      <w:pPr>
        <w:pStyle w:val="Heading1"/>
      </w:pPr>
      <w:r>
        <w:t>5. Project Structure</w:t>
      </w:r>
    </w:p>
    <w:p>
      <w:r>
        <w:t>New files added by this investigation (all additive — no existing file was modified):</w:t>
      </w:r>
    </w:p>
    <w:tbl>
      <w:tblPr>
        <w:tblStyle w:val="LightGrid-Accent1"/>
        <w:tblW w:type="auto" w:w="0"/>
        <w:jc w:val="center"/>
        <w:tblLook w:firstColumn="1" w:firstRow="1" w:lastColumn="0" w:lastRow="0" w:noHBand="0" w:noVBand="1" w:val="04A0"/>
      </w:tblPr>
      <w:tblGrid>
        <w:gridCol w:w="4320"/>
        <w:gridCol w:w="4320"/>
      </w:tblGrid>
      <w:tr>
        <w:tc>
          <w:tcPr>
            <w:tcW w:type="dxa" w:w="3744"/>
            <w:shd w:fill="1F354D"/>
          </w:tcPr>
          <w:p>
            <w:r>
              <w:rPr>
                <w:b/>
                <w:color w:val="FFFFFF"/>
                <w:sz w:val="20"/>
              </w:rPr>
              <w:t>Path</w:t>
            </w:r>
          </w:p>
        </w:tc>
        <w:tc>
          <w:tcPr>
            <w:tcW w:type="dxa" w:w="5616"/>
            <w:shd w:fill="1F354D"/>
          </w:tcPr>
          <w:p>
            <w:r>
              <w:rPr>
                <w:b/>
                <w:color w:val="FFFFFF"/>
                <w:sz w:val="20"/>
              </w:rPr>
              <w:t>Purpose</w:t>
            </w:r>
          </w:p>
        </w:tc>
      </w:tr>
      <w:tr>
        <w:tc>
          <w:tcPr>
            <w:tcW w:type="dxa" w:w="3744"/>
          </w:tcPr>
          <w:p>
            <w:r>
              <w:rPr>
                <w:sz w:val="20"/>
              </w:rPr>
              <w:t>src/stage0_diagnostics.py</w:t>
            </w:r>
          </w:p>
        </w:tc>
        <w:tc>
          <w:tcPr>
            <w:tcW w:type="dxa" w:w="5616"/>
          </w:tcPr>
          <w:p>
            <w:r>
              <w:rPr>
                <w:sz w:val="20"/>
              </w:rPr>
              <w:t>DNABERT recall + redundancy diagnostics; defines the shared held-out split reused by every later stage</w:t>
            </w:r>
          </w:p>
        </w:tc>
      </w:tr>
      <w:tr>
        <w:tc>
          <w:tcPr>
            <w:tcW w:type="dxa" w:w="3744"/>
          </w:tcPr>
          <w:p>
            <w:r>
              <w:rPr>
                <w:sz w:val="20"/>
              </w:rPr>
              <w:t>src/bm25_retrieval.py</w:t>
            </w:r>
          </w:p>
        </w:tc>
        <w:tc>
          <w:tcPr>
            <w:tcW w:type="dxa" w:w="5616"/>
          </w:tcPr>
          <w:p>
            <w:r>
              <w:rPr>
                <w:sz w:val="20"/>
              </w:rPr>
              <w:t>BM25 index (k-mer tokenization, Okapi scoring, top-K retrieval)</w:t>
            </w:r>
          </w:p>
        </w:tc>
      </w:tr>
      <w:tr>
        <w:tc>
          <w:tcPr>
            <w:tcW w:type="dxa" w:w="3744"/>
          </w:tcPr>
          <w:p>
            <w:r>
              <w:rPr>
                <w:sz w:val="20"/>
              </w:rPr>
              <w:t>src/stage1_bm25_diagnostics.py</w:t>
            </w:r>
          </w:p>
        </w:tc>
        <w:tc>
          <w:tcPr>
            <w:tcW w:type="dxa" w:w="5616"/>
          </w:tcPr>
          <w:p>
            <w:r>
              <w:rPr>
                <w:sz w:val="20"/>
              </w:rPr>
              <w:t>BM25 k-mer sweep, recall evaluation, rescue analysis vs. DNABERT</w:t>
            </w:r>
          </w:p>
        </w:tc>
      </w:tr>
      <w:tr>
        <w:tc>
          <w:tcPr>
            <w:tcW w:type="dxa" w:w="3744"/>
          </w:tcPr>
          <w:p>
            <w:r>
              <w:rPr>
                <w:sz w:val="20"/>
              </w:rPr>
              <w:t>src/rrf_fusion.py</w:t>
            </w:r>
          </w:p>
        </w:tc>
        <w:tc>
          <w:tcPr>
            <w:tcW w:type="dxa" w:w="5616"/>
          </w:tcPr>
          <w:p>
            <w:r>
              <w:rPr>
                <w:sz w:val="20"/>
              </w:rPr>
              <w:t>Reciprocal Rank Fusion scoring and top-K fusion</w:t>
            </w:r>
          </w:p>
        </w:tc>
      </w:tr>
      <w:tr>
        <w:tc>
          <w:tcPr>
            <w:tcW w:type="dxa" w:w="3744"/>
          </w:tcPr>
          <w:p>
            <w:r>
              <w:rPr>
                <w:sz w:val="20"/>
              </w:rPr>
              <w:t>src/stage2_rrf_diagnostics.py</w:t>
            </w:r>
          </w:p>
        </w:tc>
        <w:tc>
          <w:tcPr>
            <w:tcW w:type="dxa" w:w="5616"/>
          </w:tcPr>
          <w:p>
            <w:r>
              <w:rPr>
                <w:sz w:val="20"/>
              </w:rPr>
              <w:t>RRF k_const sweep, evaluation vs. BM25/DNABERT</w:t>
            </w:r>
          </w:p>
        </w:tc>
      </w:tr>
      <w:tr>
        <w:tc>
          <w:tcPr>
            <w:tcW w:type="dxa" w:w="3744"/>
          </w:tcPr>
          <w:p>
            <w:r>
              <w:rPr>
                <w:sz w:val="20"/>
              </w:rPr>
              <w:t>src/bm25_redundancy.py</w:t>
            </w:r>
          </w:p>
        </w:tc>
        <w:tc>
          <w:tcPr>
            <w:tcW w:type="dxa" w:w="5616"/>
          </w:tcPr>
          <w:p>
            <w:r>
              <w:rPr>
                <w:sz w:val="20"/>
              </w:rPr>
              <w:t>BM25 top-10 redundancy diagnostic (gate for MMR)</w:t>
            </w:r>
          </w:p>
        </w:tc>
      </w:tr>
      <w:tr>
        <w:tc>
          <w:tcPr>
            <w:tcW w:type="dxa" w:w="3744"/>
          </w:tcPr>
          <w:p>
            <w:r>
              <w:rPr>
                <w:sz w:val="20"/>
              </w:rPr>
              <w:t>src/mmr.py</w:t>
            </w:r>
          </w:p>
        </w:tc>
        <w:tc>
          <w:tcPr>
            <w:tcW w:type="dxa" w:w="5616"/>
          </w:tcPr>
          <w:p>
            <w:r>
              <w:rPr>
                <w:sz w:val="20"/>
              </w:rPr>
              <w:t>MMR candidate selection (relevance/diversity trade-off)</w:t>
            </w:r>
          </w:p>
        </w:tc>
      </w:tr>
      <w:tr>
        <w:tc>
          <w:tcPr>
            <w:tcW w:type="dxa" w:w="3744"/>
          </w:tcPr>
          <w:p>
            <w:r>
              <w:rPr>
                <w:sz w:val="20"/>
              </w:rPr>
              <w:t>src/mmr_lambda_sweep.py</w:t>
            </w:r>
          </w:p>
        </w:tc>
        <w:tc>
          <w:tcPr>
            <w:tcW w:type="dxa" w:w="5616"/>
          </w:tcPr>
          <w:p>
            <w:r>
              <w:rPr>
                <w:sz w:val="20"/>
              </w:rPr>
              <w:t>MMR λ sweep, recall and redundancy-reduction evaluation</w:t>
            </w:r>
          </w:p>
        </w:tc>
      </w:tr>
      <w:tr>
        <w:tc>
          <w:tcPr>
            <w:tcW w:type="dxa" w:w="3744"/>
          </w:tcPr>
          <w:p>
            <w:r>
              <w:rPr>
                <w:sz w:val="20"/>
              </w:rPr>
              <w:t>src/final_evaluation.py</w:t>
            </w:r>
          </w:p>
        </w:tc>
        <w:tc>
          <w:tcPr>
            <w:tcW w:type="dxa" w:w="5616"/>
          </w:tcPr>
          <w:p>
            <w:r>
              <w:rPr>
                <w:sz w:val="20"/>
              </w:rPr>
              <w:t>End-to-end A/B/C/D evaluation through the frozen reranker</w:t>
            </w:r>
          </w:p>
        </w:tc>
      </w:tr>
      <w:tr>
        <w:tc>
          <w:tcPr>
            <w:tcW w:type="dxa" w:w="3744"/>
          </w:tcPr>
          <w:p>
            <w:r>
              <w:rPr>
                <w:sz w:val="20"/>
              </w:rPr>
              <w:t>src/final_pipeline.py</w:t>
            </w:r>
          </w:p>
        </w:tc>
        <w:tc>
          <w:tcPr>
            <w:tcW w:type="dxa" w:w="5616"/>
          </w:tcPr>
          <w:p>
            <w:r>
              <w:rPr>
                <w:sz w:val="20"/>
              </w:rPr>
              <w:t>Final production inference pipeline (BM25 → MMR → reranker)</w:t>
            </w:r>
          </w:p>
        </w:tc>
      </w:tr>
      <w:tr>
        <w:tc>
          <w:tcPr>
            <w:tcW w:type="dxa" w:w="3744"/>
          </w:tcPr>
          <w:p>
            <w:r>
              <w:rPr>
                <w:sz w:val="20"/>
              </w:rPr>
              <w:t>tests/test_bm25_retrieval.py</w:t>
            </w:r>
          </w:p>
        </w:tc>
        <w:tc>
          <w:tcPr>
            <w:tcW w:type="dxa" w:w="5616"/>
          </w:tcPr>
          <w:p>
            <w:r>
              <w:rPr>
                <w:sz w:val="20"/>
              </w:rPr>
              <w:t>12 unit tests</w:t>
            </w:r>
          </w:p>
        </w:tc>
      </w:tr>
      <w:tr>
        <w:tc>
          <w:tcPr>
            <w:tcW w:type="dxa" w:w="3744"/>
          </w:tcPr>
          <w:p>
            <w:r>
              <w:rPr>
                <w:sz w:val="20"/>
              </w:rPr>
              <w:t>tests/test_rrf_fusion.py</w:t>
            </w:r>
          </w:p>
        </w:tc>
        <w:tc>
          <w:tcPr>
            <w:tcW w:type="dxa" w:w="5616"/>
          </w:tcPr>
          <w:p>
            <w:r>
              <w:rPr>
                <w:sz w:val="20"/>
              </w:rPr>
              <w:t>8 unit tests</w:t>
            </w:r>
          </w:p>
        </w:tc>
      </w:tr>
      <w:tr>
        <w:tc>
          <w:tcPr>
            <w:tcW w:type="dxa" w:w="3744"/>
          </w:tcPr>
          <w:p>
            <w:r>
              <w:rPr>
                <w:sz w:val="20"/>
              </w:rPr>
              <w:t>tests/test_mmr.py</w:t>
            </w:r>
          </w:p>
        </w:tc>
        <w:tc>
          <w:tcPr>
            <w:tcW w:type="dxa" w:w="5616"/>
          </w:tcPr>
          <w:p>
            <w:r>
              <w:rPr>
                <w:sz w:val="20"/>
              </w:rPr>
              <w:t>12 unit tests</w:t>
            </w:r>
          </w:p>
        </w:tc>
      </w:tr>
      <w:tr>
        <w:tc>
          <w:tcPr>
            <w:tcW w:type="dxa" w:w="3744"/>
          </w:tcPr>
          <w:p>
            <w:r>
              <w:rPr>
                <w:sz w:val="20"/>
              </w:rPr>
              <w:t>tests/test_final_pipeline.py</w:t>
            </w:r>
          </w:p>
        </w:tc>
        <w:tc>
          <w:tcPr>
            <w:tcW w:type="dxa" w:w="5616"/>
          </w:tcPr>
          <w:p>
            <w:r>
              <w:rPr>
                <w:sz w:val="20"/>
              </w:rPr>
              <w:t>5 integration tests</w:t>
            </w:r>
          </w:p>
        </w:tc>
      </w:tr>
      <w:tr>
        <w:tc>
          <w:tcPr>
            <w:tcW w:type="dxa" w:w="3744"/>
          </w:tcPr>
          <w:p>
            <w:r>
              <w:rPr>
                <w:sz w:val="20"/>
              </w:rPr>
              <w:t>data/Stage0 diagnostics/ … Final diagnostics/</w:t>
            </w:r>
          </w:p>
        </w:tc>
        <w:tc>
          <w:tcPr>
            <w:tcW w:type="dxa" w:w="5616"/>
          </w:tcPr>
          <w:p>
            <w:r>
              <w:rPr>
                <w:sz w:val="20"/>
              </w:rPr>
              <w:t>All experiment outputs, one folder per stage, never overwriting an earlier stage</w:t>
            </w:r>
          </w:p>
        </w:tc>
      </w:tr>
    </w:tbl>
    <w:p>
      <w:pPr>
        <w:pStyle w:val="Heading1"/>
      </w:pPr>
      <w:r>
        <w:t>6. What Changes Happened</w:t>
      </w:r>
    </w:p>
    <w:p>
      <w:pPr>
        <w:pStyle w:val="ListBullet"/>
      </w:pPr>
      <w:r>
        <w:t>An audit of the existing Part 4 pipeline was performed first, establishing that the nucleotide reranker is retrieval-method-agnostic — the architectural fact that shaped every subsequent decision.</w:t>
      </w:r>
    </w:p>
    <w:p>
      <w:pPr>
        <w:pStyle w:val="ListBullet"/>
      </w:pPr>
      <w:r>
        <w:t>A Final Design Review assessed BM25, MMR, and RRF for methodological appropriateness before any code was written, rather than implementing all three because they were requested.</w:t>
      </w:r>
    </w:p>
    <w:p>
      <w:pPr>
        <w:pStyle w:val="ListBullet"/>
      </w:pPr>
      <w:r>
        <w:t>Stage 0 diagnostics were built and run first, to determine whether investigating new retrieval methods was justified at all (it was: DNABERT recall was 58.2%, far from saturated).</w:t>
      </w:r>
    </w:p>
    <w:p>
      <w:pPr>
        <w:pStyle w:val="ListBullet"/>
      </w:pPr>
      <w:r>
        <w:t>BM25 was implemented and evaluated independently before any fusion — it was found to dramatically outperform DNABERT (Recall@10 94.6% vs 58.2%).</w:t>
      </w:r>
    </w:p>
    <w:p>
      <w:pPr>
        <w:pStyle w:val="ListBullet"/>
      </w:pPr>
      <w:r>
        <w:t>RRF was implemented and evaluated; it provided no improvement over BM25 alone and was excluded from the final architecture, per the explicit rule not to include it without demonstrated benefit.</w:t>
      </w:r>
    </w:p>
    <w:p>
      <w:pPr>
        <w:pStyle w:val="ListBullet"/>
      </w:pPr>
      <w:r>
        <w:t>A BM25-specific redundancy diagnostic gated whether MMR was worth building; it confirmed redundancy (98% of BM25 top-10 sets contain a near-duplicate).</w:t>
      </w:r>
    </w:p>
    <w:p>
      <w:pPr>
        <w:pStyle w:val="ListBullet"/>
      </w:pPr>
      <w:r>
        <w:t>MMR was implemented, an initial degenerate design (pool size equal to output size) was caught before trusting results, corrected, and re-evaluated — showing genuine redundancy reduction at no recall cost.</w:t>
      </w:r>
    </w:p>
    <w:p>
      <w:pPr>
        <w:pStyle w:val="ListBullet"/>
      </w:pPr>
      <w:r>
        <w:t>A final end-to-end evaluation compared all four architectures through the unmodified nucleotide reranker and frozen threshold, and reproduced Part 4's exact historical baseline numbers as a correctness check before drawing new conclusions.</w:t>
      </w:r>
    </w:p>
    <w:p>
      <w:pPr>
        <w:pStyle w:val="ListBullet"/>
      </w:pPr>
      <w:r>
        <w:t>A final production pipeline (BM25 → MMR → reranker) was assembled from the already-tested components — no new retrieval, diversification, or reranking logic was introduced at this step.</w:t>
      </w:r>
    </w:p>
    <w:p>
      <w:r>
        <w:br w:type="page"/>
      </w:r>
    </w:p>
    <w:p>
      <w:pPr>
        <w:pStyle w:val="Heading1"/>
      </w:pPr>
      <w:r>
        <w:t>7. Results — By Method</w:t>
      </w:r>
    </w:p>
    <w:p>
      <w:pPr>
        <w:pStyle w:val="Heading2"/>
      </w:pPr>
      <w:r>
        <w:t>7.1 DNABERT (Part 4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fill="1F354D"/>
          </w:tcPr>
          <w:p>
            <w:r>
              <w:rPr>
                <w:b/>
                <w:color w:val="FFFFFF"/>
                <w:sz w:val="20"/>
              </w:rPr>
              <w:t>Metric (held-out, n=1,000)</w:t>
            </w:r>
          </w:p>
        </w:tc>
        <w:tc>
          <w:tcPr>
            <w:tcW w:type="dxa" w:w="4320"/>
            <w:shd w:fill="1F354D"/>
          </w:tcPr>
          <w:p>
            <w:r>
              <w:rPr>
                <w:b/>
                <w:color w:val="FFFFFF"/>
                <w:sz w:val="20"/>
              </w:rPr>
              <w:t>Value</w:t>
            </w:r>
          </w:p>
        </w:tc>
      </w:tr>
      <w:tr>
        <w:tc>
          <w:tcPr>
            <w:tcW w:type="dxa" w:w="4320"/>
          </w:tcPr>
          <w:p>
            <w:r>
              <w:rPr>
                <w:sz w:val="20"/>
              </w:rPr>
              <w:t>Recall@1 / @5 / @10</w:t>
            </w:r>
          </w:p>
        </w:tc>
        <w:tc>
          <w:tcPr>
            <w:tcW w:type="dxa" w:w="4320"/>
          </w:tcPr>
          <w:p>
            <w:r>
              <w:rPr>
                <w:sz w:val="20"/>
              </w:rPr>
              <w:t>41.7% / 53.3% / 58.2%</w:t>
            </w:r>
          </w:p>
        </w:tc>
      </w:tr>
      <w:tr>
        <w:tc>
          <w:tcPr>
            <w:tcW w:type="dxa" w:w="4320"/>
          </w:tcPr>
          <w:p>
            <w:r>
              <w:rPr>
                <w:sz w:val="20"/>
              </w:rPr>
              <w:t>Fragments with correct reference entirely absent from top-10</w:t>
            </w:r>
          </w:p>
        </w:tc>
        <w:tc>
          <w:tcPr>
            <w:tcW w:type="dxa" w:w="4320"/>
          </w:tcPr>
          <w:p>
            <w:r>
              <w:rPr>
                <w:sz w:val="20"/>
              </w:rPr>
              <w:t>418 (41.8%)</w:t>
            </w:r>
          </w:p>
        </w:tc>
      </w:tr>
      <w:tr>
        <w:tc>
          <w:tcPr>
            <w:tcW w:type="dxa" w:w="4320"/>
          </w:tcPr>
          <w:p>
            <w:r>
              <w:rPr>
                <w:sz w:val="20"/>
              </w:rPr>
              <w:t>Assigned at frozen 95% threshold (Task 4 reproduction)</w:t>
            </w:r>
          </w:p>
        </w:tc>
        <w:tc>
          <w:tcPr>
            <w:tcW w:type="dxa" w:w="4320"/>
          </w:tcPr>
          <w:p>
            <w:r>
              <w:rPr>
                <w:sz w:val="20"/>
              </w:rPr>
              <w:t>598 / 1,000 (59.8%)</w:t>
            </w:r>
          </w:p>
        </w:tc>
      </w:tr>
      <w:tr>
        <w:tc>
          <w:tcPr>
            <w:tcW w:type="dxa" w:w="4320"/>
          </w:tcPr>
          <w:p>
            <w:r>
              <w:rPr>
                <w:sz w:val="20"/>
              </w:rPr>
              <w:t>Accuracy on assigned</w:t>
            </w:r>
          </w:p>
        </w:tc>
        <w:tc>
          <w:tcPr>
            <w:tcW w:type="dxa" w:w="4320"/>
          </w:tcPr>
          <w:p>
            <w:r>
              <w:rPr>
                <w:sz w:val="20"/>
              </w:rPr>
              <w:t>94.65% — matches Part 4's historically reported 94.6% exactly</w:t>
            </w:r>
          </w:p>
        </w:tc>
      </w:tr>
    </w:tbl>
    <w:p>
      <w:pPr>
        <w:pStyle w:val="Heading2"/>
      </w:pPr>
      <w:r>
        <w:t>7.2 BM25</w:t>
      </w:r>
    </w:p>
    <w:tbl>
      <w:tblPr>
        <w:tblStyle w:val="LightGrid-Accent1"/>
        <w:tblW w:type="auto" w:w="0"/>
        <w:jc w:val="center"/>
        <w:tblLook w:firstColumn="1" w:firstRow="1" w:lastColumn="0" w:lastRow="0" w:noHBand="0" w:noVBand="1" w:val="04A0"/>
      </w:tblPr>
      <w:tblGrid>
        <w:gridCol w:w="4320"/>
        <w:gridCol w:w="4320"/>
      </w:tblGrid>
      <w:tr>
        <w:tc>
          <w:tcPr>
            <w:tcW w:type="dxa" w:w="4320"/>
            <w:shd w:fill="1F354D"/>
          </w:tcPr>
          <w:p>
            <w:r>
              <w:rPr>
                <w:b/>
                <w:color w:val="FFFFFF"/>
                <w:sz w:val="20"/>
              </w:rPr>
              <w:t>Metric (held-out, n=1,000)</w:t>
            </w:r>
          </w:p>
        </w:tc>
        <w:tc>
          <w:tcPr>
            <w:tcW w:type="dxa" w:w="4320"/>
            <w:shd w:fill="1F354D"/>
          </w:tcPr>
          <w:p>
            <w:r>
              <w:rPr>
                <w:b/>
                <w:color w:val="FFFFFF"/>
                <w:sz w:val="20"/>
              </w:rPr>
              <w:t>Value</w:t>
            </w:r>
          </w:p>
        </w:tc>
      </w:tr>
      <w:tr>
        <w:tc>
          <w:tcPr>
            <w:tcW w:type="dxa" w:w="4320"/>
          </w:tcPr>
          <w:p>
            <w:r>
              <w:rPr>
                <w:sz w:val="20"/>
              </w:rPr>
              <w:t>k-mer length selected</w:t>
            </w:r>
          </w:p>
        </w:tc>
        <w:tc>
          <w:tcPr>
            <w:tcW w:type="dxa" w:w="4320"/>
          </w:tcPr>
          <w:p>
            <w:r>
              <w:rPr>
                <w:sz w:val="20"/>
              </w:rPr>
              <w:t>k=6 (swept 4/6/8 on held-out; 4→94.0%, 6→94.6%, 8→94.6% Recall@10)</w:t>
            </w:r>
          </w:p>
        </w:tc>
      </w:tr>
      <w:tr>
        <w:tc>
          <w:tcPr>
            <w:tcW w:type="dxa" w:w="4320"/>
          </w:tcPr>
          <w:p>
            <w:r>
              <w:rPr>
                <w:sz w:val="20"/>
              </w:rPr>
              <w:t>Recall@1 / @5 / @10</w:t>
            </w:r>
          </w:p>
        </w:tc>
        <w:tc>
          <w:tcPr>
            <w:tcW w:type="dxa" w:w="4320"/>
          </w:tcPr>
          <w:p>
            <w:r>
              <w:rPr>
                <w:sz w:val="20"/>
              </w:rPr>
              <w:t>93.7% / 94.5% / 94.6%</w:t>
            </w:r>
          </w:p>
        </w:tc>
      </w:tr>
      <w:tr>
        <w:tc>
          <w:tcPr>
            <w:tcW w:type="dxa" w:w="4320"/>
          </w:tcPr>
          <w:p>
            <w:r>
              <w:rPr>
                <w:sz w:val="20"/>
              </w:rPr>
              <w:t>Fragments rescued vs. DNABERT (DNABERT missed, BM25 found)</w:t>
            </w:r>
          </w:p>
        </w:tc>
        <w:tc>
          <w:tcPr>
            <w:tcW w:type="dxa" w:w="4320"/>
          </w:tcPr>
          <w:p>
            <w:r>
              <w:rPr>
                <w:sz w:val="20"/>
              </w:rPr>
              <w:t>364 (36.4%)</w:t>
            </w:r>
          </w:p>
        </w:tc>
      </w:tr>
      <w:tr>
        <w:tc>
          <w:tcPr>
            <w:tcW w:type="dxa" w:w="4320"/>
          </w:tcPr>
          <w:p>
            <w:r>
              <w:rPr>
                <w:sz w:val="20"/>
              </w:rPr>
              <w:t>Fragments DNABERT rescued that BM25 missed</w:t>
            </w:r>
          </w:p>
        </w:tc>
        <w:tc>
          <w:tcPr>
            <w:tcW w:type="dxa" w:w="4320"/>
          </w:tcPr>
          <w:p>
            <w:r>
              <w:rPr>
                <w:sz w:val="20"/>
              </w:rPr>
              <w:t>0 (0.0%)</w:t>
            </w:r>
          </w:p>
        </w:tc>
      </w:tr>
      <w:tr>
        <w:tc>
          <w:tcPr>
            <w:tcW w:type="dxa" w:w="4320"/>
          </w:tcPr>
          <w:p>
            <w:r>
              <w:rPr>
                <w:sz w:val="20"/>
              </w:rPr>
              <w:t>Assigned at frozen 95% threshold</w:t>
            </w:r>
          </w:p>
        </w:tc>
        <w:tc>
          <w:tcPr>
            <w:tcW w:type="dxa" w:w="4320"/>
          </w:tcPr>
          <w:p>
            <w:r>
              <w:rPr>
                <w:sz w:val="20"/>
              </w:rPr>
              <w:t>948 / 1,000 (94.8%)</w:t>
            </w:r>
          </w:p>
        </w:tc>
      </w:tr>
      <w:tr>
        <w:tc>
          <w:tcPr>
            <w:tcW w:type="dxa" w:w="4320"/>
          </w:tcPr>
          <w:p>
            <w:r>
              <w:rPr>
                <w:sz w:val="20"/>
              </w:rPr>
              <w:t>Accuracy on assigned</w:t>
            </w:r>
          </w:p>
        </w:tc>
        <w:tc>
          <w:tcPr>
            <w:tcW w:type="dxa" w:w="4320"/>
          </w:tcPr>
          <w:p>
            <w:r>
              <w:rPr>
                <w:sz w:val="20"/>
              </w:rPr>
              <w:t>98.73%</w:t>
            </w:r>
          </w:p>
        </w:tc>
      </w:tr>
    </w:tbl>
    <w:p>
      <w:pPr>
        <w:pStyle w:val="Heading2"/>
      </w:pPr>
      <w:r>
        <w:t>7.3 Reciprocal Rank Fusion (RRF)</w:t>
      </w:r>
    </w:p>
    <w:tbl>
      <w:tblPr>
        <w:tblStyle w:val="LightGrid-Accent1"/>
        <w:tblW w:type="auto" w:w="0"/>
        <w:jc w:val="center"/>
        <w:tblLook w:firstColumn="1" w:firstRow="1" w:lastColumn="0" w:lastRow="0" w:noHBand="0" w:noVBand="1" w:val="04A0"/>
      </w:tblPr>
      <w:tblGrid>
        <w:gridCol w:w="4320"/>
        <w:gridCol w:w="4320"/>
      </w:tblGrid>
      <w:tr>
        <w:tc>
          <w:tcPr>
            <w:tcW w:type="dxa" w:w="4320"/>
            <w:shd w:fill="1F354D"/>
          </w:tcPr>
          <w:p>
            <w:r>
              <w:rPr>
                <w:b/>
                <w:color w:val="FFFFFF"/>
                <w:sz w:val="20"/>
              </w:rPr>
              <w:t>Metric (held-out, n=1,000)</w:t>
            </w:r>
          </w:p>
        </w:tc>
        <w:tc>
          <w:tcPr>
            <w:tcW w:type="dxa" w:w="4320"/>
            <w:shd w:fill="1F354D"/>
          </w:tcPr>
          <w:p>
            <w:r>
              <w:rPr>
                <w:b/>
                <w:color w:val="FFFFFF"/>
                <w:sz w:val="20"/>
              </w:rPr>
              <w:t>Value</w:t>
            </w:r>
          </w:p>
        </w:tc>
      </w:tr>
      <w:tr>
        <w:tc>
          <w:tcPr>
            <w:tcW w:type="dxa" w:w="4320"/>
          </w:tcPr>
          <w:p>
            <w:r>
              <w:rPr>
                <w:sz w:val="20"/>
              </w:rPr>
              <w:t>k_const selected</w:t>
            </w:r>
          </w:p>
        </w:tc>
        <w:tc>
          <w:tcPr>
            <w:tcW w:type="dxa" w:w="4320"/>
          </w:tcPr>
          <w:p>
            <w:r>
              <w:rPr>
                <w:sz w:val="20"/>
              </w:rPr>
              <w:t>10 (swept 1–100; Recall@10 identical across the entire sweep)</w:t>
            </w:r>
          </w:p>
        </w:tc>
      </w:tr>
      <w:tr>
        <w:tc>
          <w:tcPr>
            <w:tcW w:type="dxa" w:w="4320"/>
          </w:tcPr>
          <w:p>
            <w:r>
              <w:rPr>
                <w:sz w:val="20"/>
              </w:rPr>
              <w:t>Recall@1 / @5 / @10</w:t>
            </w:r>
          </w:p>
        </w:tc>
        <w:tc>
          <w:tcPr>
            <w:tcW w:type="dxa" w:w="4320"/>
          </w:tcPr>
          <w:p>
            <w:r>
              <w:rPr>
                <w:sz w:val="20"/>
              </w:rPr>
              <w:t>51.3% / 94.2% / 94.6%</w:t>
            </w:r>
          </w:p>
        </w:tc>
      </w:tr>
      <w:tr>
        <w:tc>
          <w:tcPr>
            <w:tcW w:type="dxa" w:w="4320"/>
          </w:tcPr>
          <w:p>
            <w:r>
              <w:rPr>
                <w:sz w:val="20"/>
              </w:rPr>
              <w:t>Rescued vs. BM25 alone at Recall@10</w:t>
            </w:r>
          </w:p>
        </w:tc>
        <w:tc>
          <w:tcPr>
            <w:tcW w:type="dxa" w:w="4320"/>
          </w:tcPr>
          <w:p>
            <w:r>
              <w:rPr>
                <w:sz w:val="20"/>
              </w:rPr>
              <w:t>0</w:t>
            </w:r>
          </w:p>
        </w:tc>
      </w:tr>
      <w:tr>
        <w:tc>
          <w:tcPr>
            <w:tcW w:type="dxa" w:w="4320"/>
          </w:tcPr>
          <w:p>
            <w:r>
              <w:rPr>
                <w:sz w:val="20"/>
              </w:rPr>
              <w:t>Lost vs. BM25 alone at Recall@10</w:t>
            </w:r>
          </w:p>
        </w:tc>
        <w:tc>
          <w:tcPr>
            <w:tcW w:type="dxa" w:w="4320"/>
          </w:tcPr>
          <w:p>
            <w:r>
              <w:rPr>
                <w:sz w:val="20"/>
              </w:rPr>
              <w:t>0</w:t>
            </w:r>
          </w:p>
        </w:tc>
      </w:tr>
      <w:tr>
        <w:tc>
          <w:tcPr>
            <w:tcW w:type="dxa" w:w="4320"/>
          </w:tcPr>
          <w:p>
            <w:r>
              <w:rPr>
                <w:sz w:val="20"/>
              </w:rPr>
              <w:t>Verdict</w:t>
            </w:r>
          </w:p>
        </w:tc>
        <w:tc>
          <w:tcPr>
            <w:tcW w:type="dxa" w:w="4320"/>
          </w:tcPr>
          <w:p>
            <w:r>
              <w:rPr>
                <w:sz w:val="20"/>
              </w:rPr>
              <w:t>Ties BM25 on Recall@10; measurably worse on Recall@1; excluded from the final architecture</w:t>
            </w:r>
          </w:p>
        </w:tc>
      </w:tr>
    </w:tbl>
    <w:p>
      <w:pPr>
        <w:pStyle w:val="Heading2"/>
      </w:pPr>
      <w:r>
        <w:t>7.4 Maximal Marginal Relevance (MMR)</w:t>
      </w:r>
    </w:p>
    <w:tbl>
      <w:tblPr>
        <w:tblStyle w:val="LightGrid-Accent1"/>
        <w:tblW w:type="auto" w:w="0"/>
        <w:jc w:val="center"/>
        <w:tblLook w:firstColumn="1" w:firstRow="1" w:lastColumn="0" w:lastRow="0" w:noHBand="0" w:noVBand="1" w:val="04A0"/>
      </w:tblPr>
      <w:tblGrid>
        <w:gridCol w:w="4320"/>
        <w:gridCol w:w="4320"/>
      </w:tblGrid>
      <w:tr>
        <w:tc>
          <w:tcPr>
            <w:tcW w:type="dxa" w:w="4320"/>
            <w:shd w:fill="1F354D"/>
          </w:tcPr>
          <w:p>
            <w:r>
              <w:rPr>
                <w:b/>
                <w:color w:val="FFFFFF"/>
                <w:sz w:val="20"/>
              </w:rPr>
              <w:t>Metric (held-out, n=1,000)</w:t>
            </w:r>
          </w:p>
        </w:tc>
        <w:tc>
          <w:tcPr>
            <w:tcW w:type="dxa" w:w="4320"/>
            <w:shd w:fill="1F354D"/>
          </w:tcPr>
          <w:p>
            <w:r>
              <w:rPr>
                <w:b/>
                <w:color w:val="FFFFFF"/>
                <w:sz w:val="20"/>
              </w:rPr>
              <w:t>Value</w:t>
            </w:r>
          </w:p>
        </w:tc>
      </w:tr>
      <w:tr>
        <w:tc>
          <w:tcPr>
            <w:tcW w:type="dxa" w:w="4320"/>
          </w:tcPr>
          <w:p>
            <w:r>
              <w:rPr>
                <w:sz w:val="20"/>
              </w:rPr>
              <w:t>λ selected</w:t>
            </w:r>
          </w:p>
        </w:tc>
        <w:tc>
          <w:tcPr>
            <w:tcW w:type="dxa" w:w="4320"/>
          </w:tcPr>
          <w:p>
            <w:r>
              <w:rPr>
                <w:sz w:val="20"/>
              </w:rPr>
              <w:t>0.5 (swept 0.5–0.9; all preserved recall, λ=0.5 gave the largest redundancy reduction)</w:t>
            </w:r>
          </w:p>
        </w:tc>
      </w:tr>
      <w:tr>
        <w:tc>
          <w:tcPr>
            <w:tcW w:type="dxa" w:w="4320"/>
          </w:tcPr>
          <w:p>
            <w:r>
              <w:rPr>
                <w:sz w:val="20"/>
              </w:rPr>
              <w:t>Recall@1 / @5 / @10 (λ=0.5)</w:t>
            </w:r>
          </w:p>
        </w:tc>
        <w:tc>
          <w:tcPr>
            <w:tcW w:type="dxa" w:w="4320"/>
          </w:tcPr>
          <w:p>
            <w:r>
              <w:rPr>
                <w:sz w:val="20"/>
              </w:rPr>
              <w:t>93.7% / 94.6% / 94.6% (Recall@1 mathematically unchanged from BM25 for any λ&gt;0)</w:t>
            </w:r>
          </w:p>
        </w:tc>
      </w:tr>
      <w:tr>
        <w:tc>
          <w:tcPr>
            <w:tcW w:type="dxa" w:w="4320"/>
          </w:tcPr>
          <w:p>
            <w:r>
              <w:rPr>
                <w:sz w:val="20"/>
              </w:rPr>
              <w:t>Mean pairwise candidate-set similarity</w:t>
            </w:r>
          </w:p>
        </w:tc>
        <w:tc>
          <w:tcPr>
            <w:tcW w:type="dxa" w:w="4320"/>
          </w:tcPr>
          <w:p>
            <w:r>
              <w:rPr>
                <w:sz w:val="20"/>
              </w:rPr>
              <w:t>0.860 (BM25 alone) → 0.822 (BM25→MMR)</w:t>
            </w:r>
          </w:p>
        </w:tc>
      </w:tr>
      <w:tr>
        <w:tc>
          <w:tcPr>
            <w:tcW w:type="dxa" w:w="4320"/>
          </w:tcPr>
          <w:p>
            <w:r>
              <w:rPr>
                <w:sz w:val="20"/>
              </w:rPr>
              <w:t>Near-duplicate-set rate (similarity ≥ 0.999)</w:t>
            </w:r>
          </w:p>
        </w:tc>
        <w:tc>
          <w:tcPr>
            <w:tcW w:type="dxa" w:w="4320"/>
          </w:tcPr>
          <w:p>
            <w:r>
              <w:rPr>
                <w:sz w:val="20"/>
              </w:rPr>
              <w:t>98.0% → 90.5%</w:t>
            </w:r>
          </w:p>
        </w:tc>
      </w:tr>
      <w:tr>
        <w:tc>
          <w:tcPr>
            <w:tcW w:type="dxa" w:w="4320"/>
          </w:tcPr>
          <w:p>
            <w:r>
              <w:rPr>
                <w:sz w:val="20"/>
              </w:rPr>
              <w:t>Verdict</w:t>
            </w:r>
          </w:p>
        </w:tc>
        <w:tc>
          <w:tcPr>
            <w:tcW w:type="dxa" w:w="4320"/>
          </w:tcPr>
          <w:p>
            <w:r>
              <w:rPr>
                <w:sz w:val="20"/>
              </w:rPr>
              <w:t>Accepted — genuine redundancy reduction at zero Recall@10 cost</w:t>
            </w:r>
          </w:p>
        </w:tc>
      </w:tr>
    </w:tbl>
    <w:p>
      <w:pPr>
        <w:jc w:val="center"/>
      </w:pPr>
      <w:r>
        <w:drawing>
          <wp:inline xmlns:a="http://schemas.openxmlformats.org/drawingml/2006/main" xmlns:pic="http://schemas.openxmlformats.org/drawingml/2006/picture">
            <wp:extent cx="4206240" cy="3208038"/>
            <wp:docPr id="2" name="Picture 2"/>
            <wp:cNvGraphicFramePr>
              <a:graphicFrameLocks noChangeAspect="1"/>
            </wp:cNvGraphicFramePr>
            <a:graphic>
              <a:graphicData uri="http://schemas.openxmlformats.org/drawingml/2006/picture">
                <pic:pic>
                  <pic:nvPicPr>
                    <pic:cNvPr id="0" name="redundancy_reduction.png"/>
                    <pic:cNvPicPr/>
                  </pic:nvPicPr>
                  <pic:blipFill>
                    <a:blip r:embed="rId10"/>
                    <a:stretch>
                      <a:fillRect/>
                    </a:stretch>
                  </pic:blipFill>
                  <pic:spPr>
                    <a:xfrm>
                      <a:off x="0" y="0"/>
                      <a:ext cx="4206240" cy="3208038"/>
                    </a:xfrm>
                    <a:prstGeom prst="rect"/>
                  </pic:spPr>
                </pic:pic>
              </a:graphicData>
            </a:graphic>
          </wp:inline>
        </w:drawing>
      </w:r>
    </w:p>
    <w:p>
      <w:pPr>
        <w:jc w:val="center"/>
      </w:pPr>
      <w:r>
        <w:rPr>
          <w:i/>
          <w:color w:val="404040"/>
          <w:sz w:val="19"/>
        </w:rPr>
        <w:t>Figure 2 — Candidate-set redundancy before vs. after MMR, against a random-pair background.</w:t>
      </w:r>
    </w:p>
    <w:p>
      <w:r>
        <w:br w:type="page"/>
      </w:r>
    </w:p>
    <w:p>
      <w:pPr>
        <w:pStyle w:val="Heading2"/>
      </w:pPr>
      <w:r>
        <w:t>7.5 End-to-End Comparison (Final Evaluation)</w:t>
      </w:r>
    </w:p>
    <w:p>
      <w:r>
        <w:t>All four architectures below were run through the identical, unmodified nucleotide reranker and the identical frozen 95% identity threshold — no per-architecture re-tuning.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448"/>
            <w:shd w:fill="1F354D"/>
          </w:tcPr>
          <w:p>
            <w:r>
              <w:rPr>
                <w:b/>
                <w:color w:val="FFFFFF"/>
                <w:sz w:val="20"/>
              </w:rPr>
              <w:t>Architecture</w:t>
            </w:r>
          </w:p>
        </w:tc>
        <w:tc>
          <w:tcPr>
            <w:tcW w:type="dxa" w:w="1152"/>
            <w:shd w:fill="1F354D"/>
          </w:tcPr>
          <w:p>
            <w:r>
              <w:rPr>
                <w:b/>
                <w:color w:val="FFFFFF"/>
                <w:sz w:val="20"/>
              </w:rPr>
              <w:t>Recall@1</w:t>
            </w:r>
          </w:p>
        </w:tc>
        <w:tc>
          <w:tcPr>
            <w:tcW w:type="dxa" w:w="1152"/>
            <w:shd w:fill="1F354D"/>
          </w:tcPr>
          <w:p>
            <w:r>
              <w:rPr>
                <w:b/>
                <w:color w:val="FFFFFF"/>
                <w:sz w:val="20"/>
              </w:rPr>
              <w:t>Recall@5</w:t>
            </w:r>
          </w:p>
        </w:tc>
        <w:tc>
          <w:tcPr>
            <w:tcW w:type="dxa" w:w="1296"/>
            <w:shd w:fill="1F354D"/>
          </w:tcPr>
          <w:p>
            <w:r>
              <w:rPr>
                <w:b/>
                <w:color w:val="FFFFFF"/>
                <w:sz w:val="20"/>
              </w:rPr>
              <w:t>Recall@10</w:t>
            </w:r>
          </w:p>
        </w:tc>
        <w:tc>
          <w:tcPr>
            <w:tcW w:type="dxa" w:w="1440"/>
            <w:shd w:fill="1F354D"/>
          </w:tcPr>
          <w:p>
            <w:r>
              <w:rPr>
                <w:b/>
                <w:color w:val="FFFFFF"/>
                <w:sz w:val="20"/>
              </w:rPr>
              <w:t>Assigned/1000</w:t>
            </w:r>
          </w:p>
        </w:tc>
        <w:tc>
          <w:tcPr>
            <w:tcW w:type="dxa" w:w="1296"/>
            <w:shd w:fill="1F354D"/>
          </w:tcPr>
          <w:p>
            <w:r>
              <w:rPr>
                <w:b/>
                <w:color w:val="FFFFFF"/>
                <w:sz w:val="20"/>
              </w:rPr>
              <w:t>Accuracy</w:t>
            </w:r>
          </w:p>
        </w:tc>
        <w:tc>
          <w:tcPr>
            <w:tcW w:type="dxa" w:w="1440"/>
            <w:shd w:fill="1F354D"/>
          </w:tcPr>
          <w:p>
            <w:r>
              <w:rPr>
                <w:b/>
                <w:color w:val="FFFFFF"/>
                <w:sz w:val="20"/>
              </w:rPr>
              <w:t>Mean pairwise sim</w:t>
            </w:r>
          </w:p>
        </w:tc>
      </w:tr>
      <w:tr>
        <w:tc>
          <w:tcPr>
            <w:tcW w:type="dxa" w:w="2448"/>
          </w:tcPr>
          <w:p>
            <w:r>
              <w:rPr>
                <w:sz w:val="20"/>
              </w:rPr>
              <w:t>A: BM25</w:t>
            </w:r>
          </w:p>
        </w:tc>
        <w:tc>
          <w:tcPr>
            <w:tcW w:type="dxa" w:w="1152"/>
          </w:tcPr>
          <w:p>
            <w:r>
              <w:rPr>
                <w:sz w:val="20"/>
              </w:rPr>
              <w:t>93.7%</w:t>
            </w:r>
          </w:p>
        </w:tc>
        <w:tc>
          <w:tcPr>
            <w:tcW w:type="dxa" w:w="1152"/>
          </w:tcPr>
          <w:p>
            <w:r>
              <w:rPr>
                <w:sz w:val="20"/>
              </w:rPr>
              <w:t>94.5%</w:t>
            </w:r>
          </w:p>
        </w:tc>
        <w:tc>
          <w:tcPr>
            <w:tcW w:type="dxa" w:w="1296"/>
          </w:tcPr>
          <w:p>
            <w:r>
              <w:rPr>
                <w:sz w:val="20"/>
              </w:rPr>
              <w:t>94.6%</w:t>
            </w:r>
          </w:p>
        </w:tc>
        <w:tc>
          <w:tcPr>
            <w:tcW w:type="dxa" w:w="1440"/>
          </w:tcPr>
          <w:p>
            <w:r>
              <w:rPr>
                <w:sz w:val="20"/>
              </w:rPr>
              <w:t>948 (94.8%)</w:t>
            </w:r>
          </w:p>
        </w:tc>
        <w:tc>
          <w:tcPr>
            <w:tcW w:type="dxa" w:w="1296"/>
          </w:tcPr>
          <w:p>
            <w:r>
              <w:rPr>
                <w:sz w:val="20"/>
              </w:rPr>
              <w:t>98.73%</w:t>
            </w:r>
          </w:p>
        </w:tc>
        <w:tc>
          <w:tcPr>
            <w:tcW w:type="dxa" w:w="1440"/>
          </w:tcPr>
          <w:p>
            <w:r>
              <w:rPr>
                <w:sz w:val="20"/>
              </w:rPr>
              <w:t>0.860</w:t>
            </w:r>
          </w:p>
        </w:tc>
      </w:tr>
      <w:tr>
        <w:tc>
          <w:tcPr>
            <w:tcW w:type="dxa" w:w="2448"/>
          </w:tcPr>
          <w:p>
            <w:r>
              <w:rPr>
                <w:sz w:val="20"/>
              </w:rPr>
              <w:t>B: BM25 → MMR (selected)</w:t>
            </w:r>
          </w:p>
        </w:tc>
        <w:tc>
          <w:tcPr>
            <w:tcW w:type="dxa" w:w="1152"/>
          </w:tcPr>
          <w:p>
            <w:r>
              <w:rPr>
                <w:sz w:val="20"/>
              </w:rPr>
              <w:t>93.7%</w:t>
            </w:r>
          </w:p>
        </w:tc>
        <w:tc>
          <w:tcPr>
            <w:tcW w:type="dxa" w:w="1152"/>
          </w:tcPr>
          <w:p>
            <w:r>
              <w:rPr>
                <w:sz w:val="20"/>
              </w:rPr>
              <w:t>94.6%</w:t>
            </w:r>
          </w:p>
        </w:tc>
        <w:tc>
          <w:tcPr>
            <w:tcW w:type="dxa" w:w="1296"/>
          </w:tcPr>
          <w:p>
            <w:r>
              <w:rPr>
                <w:sz w:val="20"/>
              </w:rPr>
              <w:t>94.6%</w:t>
            </w:r>
          </w:p>
        </w:tc>
        <w:tc>
          <w:tcPr>
            <w:tcW w:type="dxa" w:w="1440"/>
          </w:tcPr>
          <w:p>
            <w:r>
              <w:rPr>
                <w:sz w:val="20"/>
              </w:rPr>
              <w:t>948 (94.8%)</w:t>
            </w:r>
          </w:p>
        </w:tc>
        <w:tc>
          <w:tcPr>
            <w:tcW w:type="dxa" w:w="1296"/>
          </w:tcPr>
          <w:p>
            <w:r>
              <w:rPr>
                <w:sz w:val="20"/>
              </w:rPr>
              <w:t>98.73%</w:t>
            </w:r>
          </w:p>
        </w:tc>
        <w:tc>
          <w:tcPr>
            <w:tcW w:type="dxa" w:w="1440"/>
          </w:tcPr>
          <w:p>
            <w:r>
              <w:rPr>
                <w:sz w:val="20"/>
              </w:rPr>
              <w:t>0.822</w:t>
            </w:r>
          </w:p>
        </w:tc>
      </w:tr>
      <w:tr>
        <w:tc>
          <w:tcPr>
            <w:tcW w:type="dxa" w:w="2448"/>
          </w:tcPr>
          <w:p>
            <w:r>
              <w:rPr>
                <w:sz w:val="20"/>
              </w:rPr>
              <w:t>C: DNABERT (baseline)</w:t>
            </w:r>
          </w:p>
        </w:tc>
        <w:tc>
          <w:tcPr>
            <w:tcW w:type="dxa" w:w="1152"/>
          </w:tcPr>
          <w:p>
            <w:r>
              <w:rPr>
                <w:sz w:val="20"/>
              </w:rPr>
              <w:t>41.7%</w:t>
            </w:r>
          </w:p>
        </w:tc>
        <w:tc>
          <w:tcPr>
            <w:tcW w:type="dxa" w:w="1152"/>
          </w:tcPr>
          <w:p>
            <w:r>
              <w:rPr>
                <w:sz w:val="20"/>
              </w:rPr>
              <w:t>53.3%</w:t>
            </w:r>
          </w:p>
        </w:tc>
        <w:tc>
          <w:tcPr>
            <w:tcW w:type="dxa" w:w="1296"/>
          </w:tcPr>
          <w:p>
            <w:r>
              <w:rPr>
                <w:sz w:val="20"/>
              </w:rPr>
              <w:t>58.2%</w:t>
            </w:r>
          </w:p>
        </w:tc>
        <w:tc>
          <w:tcPr>
            <w:tcW w:type="dxa" w:w="1440"/>
          </w:tcPr>
          <w:p>
            <w:r>
              <w:rPr>
                <w:sz w:val="20"/>
              </w:rPr>
              <w:t>598 (59.8%)</w:t>
            </w:r>
          </w:p>
        </w:tc>
        <w:tc>
          <w:tcPr>
            <w:tcW w:type="dxa" w:w="1296"/>
          </w:tcPr>
          <w:p>
            <w:r>
              <w:rPr>
                <w:sz w:val="20"/>
              </w:rPr>
              <w:t>94.65%</w:t>
            </w:r>
          </w:p>
        </w:tc>
        <w:tc>
          <w:tcPr>
            <w:tcW w:type="dxa" w:w="1440"/>
          </w:tcPr>
          <w:p>
            <w:r>
              <w:rPr>
                <w:sz w:val="20"/>
              </w:rPr>
              <w:t>0.859</w:t>
            </w:r>
          </w:p>
        </w:tc>
      </w:tr>
      <w:tr>
        <w:tc>
          <w:tcPr>
            <w:tcW w:type="dxa" w:w="2448"/>
          </w:tcPr>
          <w:p>
            <w:r>
              <w:rPr>
                <w:sz w:val="20"/>
              </w:rPr>
              <w:t>D: RRF</w:t>
            </w:r>
          </w:p>
        </w:tc>
        <w:tc>
          <w:tcPr>
            <w:tcW w:type="dxa" w:w="1152"/>
          </w:tcPr>
          <w:p>
            <w:r>
              <w:rPr>
                <w:sz w:val="20"/>
              </w:rPr>
              <w:t>51.3%</w:t>
            </w:r>
          </w:p>
        </w:tc>
        <w:tc>
          <w:tcPr>
            <w:tcW w:type="dxa" w:w="1152"/>
          </w:tcPr>
          <w:p>
            <w:r>
              <w:rPr>
                <w:sz w:val="20"/>
              </w:rPr>
              <w:t>94.2%</w:t>
            </w:r>
          </w:p>
        </w:tc>
        <w:tc>
          <w:tcPr>
            <w:tcW w:type="dxa" w:w="1296"/>
          </w:tcPr>
          <w:p>
            <w:r>
              <w:rPr>
                <w:sz w:val="20"/>
              </w:rPr>
              <w:t>94.6%</w:t>
            </w:r>
          </w:p>
        </w:tc>
        <w:tc>
          <w:tcPr>
            <w:tcW w:type="dxa" w:w="1440"/>
          </w:tcPr>
          <w:p>
            <w:r>
              <w:rPr>
                <w:sz w:val="20"/>
              </w:rPr>
              <w:t>948 (94.8%)</w:t>
            </w:r>
          </w:p>
        </w:tc>
        <w:tc>
          <w:tcPr>
            <w:tcW w:type="dxa" w:w="1296"/>
          </w:tcPr>
          <w:p>
            <w:r>
              <w:rPr>
                <w:sz w:val="20"/>
              </w:rPr>
              <w:t>98.95%</w:t>
            </w:r>
          </w:p>
        </w:tc>
        <w:tc>
          <w:tcPr>
            <w:tcW w:type="dxa" w:w="1440"/>
          </w:tcPr>
          <w:p>
            <w:r>
              <w:rPr>
                <w:sz w:val="20"/>
              </w:rPr>
              <w:t>0.770</w:t>
            </w:r>
          </w:p>
        </w:tc>
      </w:tr>
    </w:tbl>
    <w:p>
      <w:pPr>
        <w:jc w:val="center"/>
      </w:pPr>
      <w:r>
        <w:drawing>
          <wp:inline xmlns:a="http://schemas.openxmlformats.org/drawingml/2006/main" xmlns:pic="http://schemas.openxmlformats.org/drawingml/2006/picture">
            <wp:extent cx="5120640" cy="3169611"/>
            <wp:docPr id="3" name="Picture 3"/>
            <wp:cNvGraphicFramePr>
              <a:graphicFrameLocks noChangeAspect="1"/>
            </wp:cNvGraphicFramePr>
            <a:graphic>
              <a:graphicData uri="http://schemas.openxmlformats.org/drawingml/2006/picture">
                <pic:pic>
                  <pic:nvPicPr>
                    <pic:cNvPr id="0" name="recall_comparison.png"/>
                    <pic:cNvPicPr/>
                  </pic:nvPicPr>
                  <pic:blipFill>
                    <a:blip r:embed="rId11"/>
                    <a:stretch>
                      <a:fillRect/>
                    </a:stretch>
                  </pic:blipFill>
                  <pic:spPr>
                    <a:xfrm>
                      <a:off x="0" y="0"/>
                      <a:ext cx="5120640" cy="3169611"/>
                    </a:xfrm>
                    <a:prstGeom prst="rect"/>
                  </pic:spPr>
                </pic:pic>
              </a:graphicData>
            </a:graphic>
          </wp:inline>
        </w:drawing>
      </w:r>
    </w:p>
    <w:p>
      <w:pPr>
        <w:jc w:val="center"/>
      </w:pPr>
      <w:r>
        <w:rPr>
          <w:i/>
          <w:color w:val="404040"/>
          <w:sz w:val="19"/>
        </w:rPr>
        <w:t>Figure 3 — Held-out retrieval recall by architecture.</w:t>
      </w:r>
    </w:p>
    <w:p>
      <w:pPr>
        <w:jc w:val="center"/>
      </w:pPr>
      <w:r>
        <w:drawing>
          <wp:inline xmlns:a="http://schemas.openxmlformats.org/drawingml/2006/main" xmlns:pic="http://schemas.openxmlformats.org/drawingml/2006/picture">
            <wp:extent cx="5120640" cy="3290683"/>
            <wp:docPr id="4" name="Picture 4"/>
            <wp:cNvGraphicFramePr>
              <a:graphicFrameLocks noChangeAspect="1"/>
            </wp:cNvGraphicFramePr>
            <a:graphic>
              <a:graphicData uri="http://schemas.openxmlformats.org/drawingml/2006/picture">
                <pic:pic>
                  <pic:nvPicPr>
                    <pic:cNvPr id="0" name="decision_comparison.png"/>
                    <pic:cNvPicPr/>
                  </pic:nvPicPr>
                  <pic:blipFill>
                    <a:blip r:embed="rId12"/>
                    <a:stretch>
                      <a:fillRect/>
                    </a:stretch>
                  </pic:blipFill>
                  <pic:spPr>
                    <a:xfrm>
                      <a:off x="0" y="0"/>
                      <a:ext cx="5120640" cy="3290683"/>
                    </a:xfrm>
                    <a:prstGeom prst="rect"/>
                  </pic:spPr>
                </pic:pic>
              </a:graphicData>
            </a:graphic>
          </wp:inline>
        </w:drawing>
      </w:r>
    </w:p>
    <w:p>
      <w:pPr>
        <w:jc w:val="center"/>
      </w:pPr>
      <w:r>
        <w:rPr>
          <w:i/>
          <w:color w:val="404040"/>
          <w:sz w:val="19"/>
        </w:rPr>
        <w:t>Figure 4 — Final decision outcome (assigned count and accuracy) at the frozen 95% threshold.</w:t>
      </w:r>
    </w:p>
    <w:p>
      <w:r>
        <w:br w:type="page"/>
      </w:r>
    </w:p>
    <w:p>
      <w:pPr>
        <w:pStyle w:val="Heading1"/>
      </w:pPr>
      <w:r>
        <w:t>8. Final Architecture Decision</w:t>
      </w:r>
    </w:p>
    <w:p>
      <w:r>
        <w:t>Selected: BM25 (k=6) → MMR (λ=0.5, selecting from a top-30 pool) → the frozen nucleotide reranker → the frozen 95% identity threshold.</w:t>
      </w:r>
    </w:p>
    <w:p>
      <w:pPr>
        <w:pStyle w:val="ListBullet"/>
      </w:pPr>
      <w:r>
        <w:t>A (BM25 alone) and B (BM25 → MMR) are statistically indistinguishable at the decision level — identical assigned count (948/1,000) and identical accuracy (98.73%). MMR is included because it is measurably free: it reduces candidate-set redundancy by 9.5 percentage points at zero cost to Recall@10 and a negligible Recall@5 gain, not because it was planned in advance.</w:t>
      </w:r>
    </w:p>
    <w:p>
      <w:pPr>
        <w:pStyle w:val="ListBullet"/>
      </w:pPr>
      <w:r>
        <w:t>D (RRF) reached a marginally higher accuracy (938/948 vs. 936/948 correct — a 2-fragment difference out of 948) but requires running DNABERT at inference time in addition to BM25. Combined with Stage 2's finding that RRF ties BM25 on Recall@10 while costing Recall@1, a 2-fragment difference does not meet the bar of "new evidence unexpectedly demonstrating a benefit." RRF is excluded from the production path, though its implementation and tests remain in the repository as part of the experimental record.</w:t>
      </w:r>
    </w:p>
    <w:p>
      <w:pPr>
        <w:pStyle w:val="ListBullet"/>
      </w:pPr>
      <w:r>
        <w:t>C (DNABERT alone) is far below BM25 on every metric measured, which is the entire basis for adopting BM25 in the first place.</w:t>
      </w:r>
    </w:p>
    <w:p>
      <w:pPr>
        <w:pStyle w:val="Heading1"/>
      </w:pPr>
      <w:r>
        <w:t>9. Limitations — Measured vs. Assumed</w:t>
      </w:r>
    </w:p>
    <w:p>
      <w:r>
        <w:rPr>
          <w:b/>
        </w:rPr>
        <w:t xml:space="preserve">Measured: </w:t>
      </w:r>
      <w:r>
        <w:t>every number in this report, from an actual execution of the corresponding script against the existing held-out split, on this machine, this session.</w:t>
      </w:r>
    </w:p>
    <w:p>
      <w:r>
        <w:rPr>
          <w:b/>
        </w:rPr>
        <w:t xml:space="preserve">Not measured / explicitly out of scope: </w:t>
      </w:r>
      <w:r>
        <w:t>BM25→MMR was not run against the real 5,000-read dataset — every result in this report is the held-out MitoFish evaluation, per the instruction not to tune against or use real-read assignments. Part 4's 474/5,000 real-read figure remains the frozen baseline; applying the selected architecture to the real reads is the natural next step but was outside this investigation's scope. Synthetic held-out fragments are also clean substrings with no simulated sequencing error, unlike real Illumina reads — this could make BM25's real-read advantage smaller than its held-out advantage, though this was not newly measured here. The RRF vs. BM25+MMR 2-fragment accuracy difference is treated as within noise, not a robust finding — no formal significance test was run given the small absolute count.</w:t>
      </w:r>
    </w:p>
    <w:p>
      <w:pPr>
        <w:pStyle w:val="Heading1"/>
      </w:pPr>
      <w:r>
        <w:t>10. Reproducibility</w:t>
      </w:r>
    </w:p>
    <w:p>
      <w:r>
        <w:t>All commands below were actually run to produce the numbers in this report.</w:t>
      </w:r>
    </w:p>
    <w:p>
      <w:r>
        <w:rPr>
          <w:rFonts w:ascii="Consolas" w:hAnsi="Consolas"/>
          <w:sz w:val="20"/>
        </w:rPr>
        <w:t>python -m src.stage0_diagnostics</w:t>
      </w:r>
    </w:p>
    <w:p>
      <w:r>
        <w:rPr>
          <w:rFonts w:ascii="Consolas" w:hAnsi="Consolas"/>
          <w:sz w:val="20"/>
        </w:rPr>
        <w:t>python -m src.stage1_bm25_diagnostics</w:t>
      </w:r>
    </w:p>
    <w:p>
      <w:r>
        <w:rPr>
          <w:rFonts w:ascii="Consolas" w:hAnsi="Consolas"/>
          <w:sz w:val="20"/>
        </w:rPr>
        <w:t>python -m src.stage2_rrf_diagnostics</w:t>
      </w:r>
    </w:p>
    <w:p>
      <w:r>
        <w:rPr>
          <w:rFonts w:ascii="Consolas" w:hAnsi="Consolas"/>
          <w:sz w:val="20"/>
        </w:rPr>
        <w:t>python -m src.bm25_redundancy</w:t>
      </w:r>
    </w:p>
    <w:p>
      <w:r>
        <w:rPr>
          <w:rFonts w:ascii="Consolas" w:hAnsi="Consolas"/>
          <w:sz w:val="20"/>
        </w:rPr>
        <w:t>python -m src.mmr_lambda_sweep</w:t>
      </w:r>
    </w:p>
    <w:p>
      <w:r>
        <w:rPr>
          <w:rFonts w:ascii="Consolas" w:hAnsi="Consolas"/>
          <w:sz w:val="20"/>
        </w:rPr>
        <w:t>python -m src.final_evaluation</w:t>
      </w:r>
    </w:p>
    <w:p>
      <w:r>
        <w:rPr>
          <w:rFonts w:ascii="Consolas" w:hAnsi="Consolas"/>
          <w:sz w:val="20"/>
        </w:rPr>
        <w:t>python -m pytest -q</w:t>
      </w:r>
    </w:p>
    <w:p>
      <w:pPr>
        <w:pStyle w:val="Heading1"/>
      </w:pPr>
      <w:r>
        <w:t>11. Conclusion</w:t>
      </w:r>
    </w:p>
    <w:p>
      <w:r>
        <w:t>This investigation replaced assumption with measurement at every step. BM25 — not the more sophisticated fusion or diversification methods — turned out to be the single highest-leverage change, because MitoFish's own accession redundancy makes exact/near-exact lexical retrieval unusually effective for this specific corpus. RRF, despite being a reasonable idea on paper, added no measured value and was correctly excluded. MMR earned its place in the final architecture on hard evidence of a real, measurable benefit (redundancy reduction) with no measured cost, not because it was one of the four methods originally proposed. The result is a final architecture that is simpler than the full four-method proposal, empirically justified at every stage, and fully reproducible end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