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C10" w:rsidRPr="00EE539D" w:rsidRDefault="00D24C10" w:rsidP="00D24C10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 w:rsidRPr="00EE539D">
        <w:rPr>
          <w:rFonts w:eastAsia="Times New Roman" w:cstheme="minorHAnsi"/>
          <w:b/>
          <w:sz w:val="24"/>
          <w:u w:val="single"/>
          <w:lang w:eastAsia="en-IN"/>
        </w:rPr>
        <w:t>Assignment</w:t>
      </w:r>
      <w:r w:rsidRPr="00EE539D">
        <w:rPr>
          <w:rFonts w:eastAsia="Times New Roman" w:cstheme="minorHAnsi"/>
          <w:b/>
          <w:sz w:val="28"/>
          <w:szCs w:val="24"/>
          <w:u w:val="single"/>
          <w:lang w:eastAsia="en-IN"/>
        </w:rPr>
        <w:t xml:space="preserve"> – </w:t>
      </w:r>
    </w:p>
    <w:p w:rsidR="00D24C10" w:rsidRPr="00FA5760" w:rsidRDefault="00D24C10" w:rsidP="00D24C1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Style w:val="Strong"/>
          <w:rFonts w:eastAsia="Times New Roman" w:cstheme="minorHAnsi"/>
          <w:bCs w:val="0"/>
          <w:sz w:val="24"/>
          <w:szCs w:val="24"/>
          <w:u w:val="single"/>
          <w:lang w:eastAsia="en-IN"/>
        </w:rPr>
      </w:pPr>
      <w:r w:rsidRPr="00FA5760">
        <w:rPr>
          <w:rStyle w:val="Strong"/>
          <w:rFonts w:cstheme="minorHAnsi"/>
          <w:sz w:val="24"/>
          <w:szCs w:val="24"/>
          <w:u w:val="single"/>
        </w:rPr>
        <w:t>ApexaiQ Overview:</w:t>
      </w:r>
    </w:p>
    <w:p w:rsidR="00D24C10" w:rsidRPr="007B1609" w:rsidRDefault="00D24C10" w:rsidP="00EE539D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sz w:val="24"/>
          <w:szCs w:val="24"/>
          <w:lang w:eastAsia="en-IN"/>
        </w:rPr>
      </w:pPr>
      <w:r w:rsidRPr="007B1609">
        <w:rPr>
          <w:rFonts w:cstheme="minorHAnsi"/>
          <w:sz w:val="24"/>
          <w:szCs w:val="24"/>
        </w:rPr>
        <w:br/>
        <w:t xml:space="preserve">ApexaiQ is a </w:t>
      </w:r>
      <w:r w:rsidRPr="007B1609">
        <w:rPr>
          <w:rStyle w:val="Strong"/>
          <w:rFonts w:cstheme="minorHAnsi"/>
          <w:sz w:val="24"/>
          <w:szCs w:val="24"/>
        </w:rPr>
        <w:t>SaaS-based IT risk management platform</w:t>
      </w:r>
      <w:r w:rsidRPr="007B1609">
        <w:rPr>
          <w:rFonts w:cstheme="minorHAnsi"/>
          <w:sz w:val="24"/>
          <w:szCs w:val="24"/>
        </w:rPr>
        <w:t xml:space="preserve"> that calculates your </w:t>
      </w:r>
      <w:r w:rsidRPr="007B1609">
        <w:rPr>
          <w:rStyle w:val="Strong"/>
          <w:rFonts w:cstheme="minorHAnsi"/>
          <w:sz w:val="24"/>
          <w:szCs w:val="24"/>
        </w:rPr>
        <w:t>ApexaiQ score</w:t>
      </w:r>
      <w:r w:rsidRPr="007B1609">
        <w:rPr>
          <w:rFonts w:cstheme="minorHAnsi"/>
          <w:sz w:val="24"/>
          <w:szCs w:val="24"/>
        </w:rPr>
        <w:t xml:space="preserve">, a credit rating for your IT environment. It assesses </w:t>
      </w:r>
      <w:r w:rsidRPr="007B1609">
        <w:rPr>
          <w:rStyle w:val="Strong"/>
          <w:rFonts w:cstheme="minorHAnsi"/>
          <w:sz w:val="24"/>
          <w:szCs w:val="24"/>
        </w:rPr>
        <w:t>risks, compliance, obsolescence, maintenance, and vulnerabilities</w:t>
      </w:r>
      <w:r w:rsidRPr="007B1609">
        <w:rPr>
          <w:rFonts w:cstheme="minorHAnsi"/>
          <w:sz w:val="24"/>
          <w:szCs w:val="24"/>
        </w:rPr>
        <w:t xml:space="preserve"> in a single dashboard, helping organizations improve their IT hygiene.</w:t>
      </w:r>
    </w:p>
    <w:p w:rsidR="00D24C10" w:rsidRPr="00EE539D" w:rsidRDefault="00D24C10" w:rsidP="00D24C10">
      <w:pPr>
        <w:pStyle w:val="ListParagraph"/>
        <w:spacing w:before="100" w:beforeAutospacing="1" w:after="100" w:afterAutospacing="1" w:line="240" w:lineRule="auto"/>
        <w:rPr>
          <w:rStyle w:val="Strong"/>
          <w:rFonts w:cstheme="minorHAnsi"/>
          <w:szCs w:val="24"/>
        </w:rPr>
      </w:pPr>
    </w:p>
    <w:p w:rsidR="00D24C10" w:rsidRPr="007B1609" w:rsidRDefault="00D24C10" w:rsidP="00D24C10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en-IN"/>
        </w:rPr>
      </w:pPr>
    </w:p>
    <w:p w:rsidR="00D24C10" w:rsidRPr="00FA5760" w:rsidRDefault="00D24C10" w:rsidP="00D24C1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u w:val="single"/>
          <w:lang w:eastAsia="en-IN"/>
        </w:rPr>
      </w:pPr>
      <w:r w:rsidRPr="00FA5760">
        <w:rPr>
          <w:rFonts w:eastAsia="Times New Roman" w:cstheme="minorHAnsi"/>
          <w:b/>
          <w:sz w:val="24"/>
          <w:szCs w:val="24"/>
          <w:u w:val="single"/>
          <w:lang w:eastAsia="en-IN"/>
        </w:rPr>
        <w:t xml:space="preserve">Major clients </w:t>
      </w:r>
    </w:p>
    <w:p w:rsidR="00D24C10" w:rsidRPr="007B1609" w:rsidRDefault="00D24C10" w:rsidP="00D24C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Fidelity Bank</w:t>
      </w:r>
    </w:p>
    <w:p w:rsidR="00D24C10" w:rsidRPr="007B1609" w:rsidRDefault="00D24C10" w:rsidP="00D24C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Northern Bank</w:t>
      </w:r>
    </w:p>
    <w:p w:rsidR="00D24C10" w:rsidRPr="007B1609" w:rsidRDefault="00D24C10" w:rsidP="00D24C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Beazley (Cybersecurity Expert Vendor)</w:t>
      </w:r>
    </w:p>
    <w:p w:rsidR="00D24C10" w:rsidRPr="007B1609" w:rsidRDefault="00D24C10" w:rsidP="00D24C10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These clients represent industries such as </w:t>
      </w: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banking, financial services, healthcare, and insurance.</w:t>
      </w:r>
    </w:p>
    <w:p w:rsidR="00D24C10" w:rsidRPr="00FA5760" w:rsidRDefault="00D24C10" w:rsidP="00EE539D">
      <w:pPr>
        <w:pStyle w:val="NormalWeb"/>
        <w:numPr>
          <w:ilvl w:val="0"/>
          <w:numId w:val="2"/>
        </w:numPr>
        <w:jc w:val="both"/>
        <w:rPr>
          <w:rFonts w:asciiTheme="minorHAnsi" w:hAnsiTheme="minorHAnsi" w:cstheme="minorHAnsi"/>
          <w:b/>
          <w:u w:val="single"/>
        </w:rPr>
      </w:pPr>
      <w:r w:rsidRPr="00FA5760">
        <w:rPr>
          <w:rFonts w:asciiTheme="minorHAnsi" w:hAnsiTheme="minorHAnsi" w:cstheme="minorHAnsi"/>
          <w:b/>
          <w:u w:val="single"/>
        </w:rPr>
        <w:t>Features of Dashboard:</w:t>
      </w:r>
    </w:p>
    <w:p w:rsidR="00D24C10" w:rsidRPr="007B1609" w:rsidRDefault="00D24C10" w:rsidP="00EE53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Comprehensive IT Visibility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– Monitors laptops, servers, routers, cloud, and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IoT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devices.</w:t>
      </w:r>
    </w:p>
    <w:p w:rsidR="00D24C10" w:rsidRPr="007B1609" w:rsidRDefault="00D24C10" w:rsidP="00EE53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Real-Time Risk Assessment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– Identifies obsolete hardware/software, expiring warranties, and security vulnerabilities.</w:t>
      </w:r>
    </w:p>
    <w:p w:rsidR="00D24C10" w:rsidRPr="007B1609" w:rsidRDefault="00D24C10" w:rsidP="00EE53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IT Security Gaps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– Highlights non-compliant devices and allows setting compliance benchmarks.</w:t>
      </w:r>
    </w:p>
    <w:p w:rsidR="00D24C10" w:rsidRPr="007B1609" w:rsidRDefault="00D24C10" w:rsidP="00EE53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Actionable Insights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– Prioritizes critical vulnerabilities for patching.</w:t>
      </w:r>
    </w:p>
    <w:p w:rsidR="00D24C10" w:rsidRPr="007B1609" w:rsidRDefault="00D24C10" w:rsidP="00EE53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Automated Alerts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– Sends notifications for non-compliant devices.</w:t>
      </w:r>
    </w:p>
    <w:p w:rsidR="00D24C10" w:rsidRPr="007B1609" w:rsidRDefault="00524EE4" w:rsidP="00524EE4">
      <w:pPr>
        <w:rPr>
          <w:rFonts w:cstheme="minorHAnsi"/>
          <w:sz w:val="24"/>
          <w:szCs w:val="24"/>
        </w:rPr>
      </w:pPr>
      <w:r w:rsidRPr="007B1609">
        <w:rPr>
          <w:rFonts w:cstheme="minorHAnsi"/>
          <w:sz w:val="24"/>
          <w:szCs w:val="24"/>
        </w:rPr>
        <w:t xml:space="preserve">         </w:t>
      </w:r>
      <w:r w:rsidR="00D24C10" w:rsidRPr="007B1609">
        <w:rPr>
          <w:noProof/>
          <w:sz w:val="24"/>
          <w:szCs w:val="24"/>
          <w:lang w:eastAsia="en-IN"/>
        </w:rPr>
        <w:drawing>
          <wp:inline distT="0" distB="0" distL="0" distR="0" wp14:anchorId="2B3D3C4D" wp14:editId="673F0CE5">
            <wp:extent cx="5182734" cy="2956078"/>
            <wp:effectExtent l="0" t="0" r="0" b="0"/>
            <wp:docPr id="1413394780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94780" name="Graphic 1413394780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70" cy="29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0" w:rsidRPr="007B1609" w:rsidRDefault="00D24C10" w:rsidP="00D24C10">
      <w:pPr>
        <w:pStyle w:val="ListParagraph"/>
        <w:numPr>
          <w:ilvl w:val="0"/>
          <w:numId w:val="4"/>
        </w:numPr>
        <w:spacing w:line="278" w:lineRule="auto"/>
        <w:rPr>
          <w:rFonts w:cstheme="minorHAnsi"/>
          <w:sz w:val="24"/>
          <w:szCs w:val="24"/>
        </w:rPr>
      </w:pPr>
      <w:r w:rsidRPr="007B1609">
        <w:rPr>
          <w:rFonts w:cstheme="minorHAnsi"/>
          <w:sz w:val="24"/>
          <w:szCs w:val="24"/>
        </w:rPr>
        <w:lastRenderedPageBreak/>
        <w:t xml:space="preserve">It computes all your risks and security gaps into a single score, based on the most vital obsolescence and compliance factors. </w:t>
      </w:r>
    </w:p>
    <w:p w:rsidR="00D24C10" w:rsidRPr="007B1609" w:rsidRDefault="00D24C10" w:rsidP="00D24C10">
      <w:pPr>
        <w:pStyle w:val="ListParagraph"/>
        <w:numPr>
          <w:ilvl w:val="0"/>
          <w:numId w:val="4"/>
        </w:numPr>
        <w:spacing w:line="278" w:lineRule="auto"/>
        <w:rPr>
          <w:rFonts w:cstheme="minorHAnsi"/>
          <w:sz w:val="24"/>
          <w:szCs w:val="24"/>
        </w:rPr>
      </w:pPr>
      <w:r w:rsidRPr="007B1609">
        <w:rPr>
          <w:rFonts w:cstheme="minorHAnsi"/>
          <w:sz w:val="24"/>
          <w:szCs w:val="24"/>
        </w:rPr>
        <w:t>The higher the score, the stronger and more secure your IT environment.</w:t>
      </w:r>
    </w:p>
    <w:p w:rsidR="00D24C10" w:rsidRPr="007B1609" w:rsidRDefault="00D24C10" w:rsidP="00D24C10">
      <w:pPr>
        <w:pStyle w:val="ListParagraph"/>
        <w:rPr>
          <w:rFonts w:cstheme="minorHAnsi"/>
          <w:sz w:val="24"/>
          <w:szCs w:val="24"/>
        </w:rPr>
      </w:pP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  <w:r w:rsidRPr="007B1609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1562BE8" wp14:editId="21DF448A">
            <wp:extent cx="5731510" cy="1965165"/>
            <wp:effectExtent l="0" t="0" r="2540" b="0"/>
            <wp:docPr id="196862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2793" name="Picture 19686227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0" w:rsidRPr="007B1609" w:rsidRDefault="00D24C10" w:rsidP="00524EE4">
      <w:pPr>
        <w:jc w:val="center"/>
        <w:rPr>
          <w:rFonts w:cstheme="minorHAnsi"/>
          <w:sz w:val="24"/>
          <w:szCs w:val="24"/>
        </w:rPr>
      </w:pPr>
      <w:r w:rsidRPr="007B1609">
        <w:rPr>
          <w:rFonts w:cstheme="minorHAnsi"/>
          <w:sz w:val="24"/>
          <w:szCs w:val="24"/>
        </w:rPr>
        <w:t>Gain visibility into licenses, versions, and vulnerabilities across your entire stack.</w:t>
      </w:r>
    </w:p>
    <w:p w:rsidR="00D24C10" w:rsidRPr="007B1609" w:rsidRDefault="00D24C10" w:rsidP="00D24C10">
      <w:pPr>
        <w:rPr>
          <w:rFonts w:cstheme="minorHAnsi"/>
          <w:noProof/>
          <w:sz w:val="24"/>
          <w:szCs w:val="24"/>
        </w:rPr>
      </w:pPr>
    </w:p>
    <w:p w:rsidR="00D24C10" w:rsidRPr="007B1609" w:rsidRDefault="00D24C10" w:rsidP="00D24C10">
      <w:pPr>
        <w:rPr>
          <w:rFonts w:cstheme="minorHAnsi"/>
          <w:noProof/>
          <w:sz w:val="24"/>
          <w:szCs w:val="24"/>
        </w:rPr>
      </w:pPr>
      <w:r w:rsidRPr="007B1609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D74CFB2" wp14:editId="0550EA23">
            <wp:extent cx="5731510" cy="1965165"/>
            <wp:effectExtent l="0" t="0" r="2540" b="0"/>
            <wp:docPr id="628233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33802" name="Picture 6282338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  <w:r w:rsidRPr="007B1609">
        <w:rPr>
          <w:rFonts w:cstheme="minorHAnsi"/>
          <w:sz w:val="24"/>
          <w:szCs w:val="24"/>
        </w:rPr>
        <w:t xml:space="preserve">              Never miss a critical update that could leave you exposed.</w:t>
      </w: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  <w:r w:rsidRPr="007B1609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8E6C527" wp14:editId="5826421B">
            <wp:extent cx="5731510" cy="3268553"/>
            <wp:effectExtent l="0" t="0" r="2540" b="8255"/>
            <wp:docPr id="914261907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61907" name="Graphic 914261907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  <w:r w:rsidRPr="007B1609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5778ED3" wp14:editId="66AF1515">
            <wp:extent cx="5731510" cy="1920056"/>
            <wp:effectExtent l="0" t="0" r="2540" b="4445"/>
            <wp:docPr id="1975898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8293" name="Picture 19758982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10" w:rsidRPr="007B1609" w:rsidRDefault="00D24C10" w:rsidP="00D24C10">
      <w:pPr>
        <w:rPr>
          <w:rFonts w:cstheme="minorHAnsi"/>
          <w:sz w:val="24"/>
          <w:szCs w:val="24"/>
        </w:rPr>
      </w:pPr>
    </w:p>
    <w:p w:rsidR="00D24C10" w:rsidRDefault="00D24C10" w:rsidP="007B1609">
      <w:pPr>
        <w:pStyle w:val="ListParagraph"/>
        <w:rPr>
          <w:rFonts w:cstheme="minorHAnsi"/>
          <w:sz w:val="24"/>
          <w:szCs w:val="24"/>
        </w:rPr>
      </w:pPr>
      <w:r w:rsidRPr="007B1609">
        <w:rPr>
          <w:rFonts w:cstheme="minorHAnsi"/>
          <w:sz w:val="24"/>
          <w:szCs w:val="24"/>
        </w:rPr>
        <w:t xml:space="preserve">From servers to </w:t>
      </w:r>
      <w:proofErr w:type="spellStart"/>
      <w:r w:rsidRPr="007B1609">
        <w:rPr>
          <w:rFonts w:cstheme="minorHAnsi"/>
          <w:sz w:val="24"/>
          <w:szCs w:val="24"/>
        </w:rPr>
        <w:t>IoT</w:t>
      </w:r>
      <w:proofErr w:type="spellEnd"/>
      <w:r w:rsidRPr="007B1609">
        <w:rPr>
          <w:rFonts w:cstheme="minorHAnsi"/>
          <w:sz w:val="24"/>
          <w:szCs w:val="24"/>
        </w:rPr>
        <w:t xml:space="preserve"> devices, know exactly what you have and its health status.</w:t>
      </w:r>
    </w:p>
    <w:p w:rsidR="007B1609" w:rsidRDefault="007B1609" w:rsidP="007B1609">
      <w:pPr>
        <w:pStyle w:val="ListParagraph"/>
        <w:rPr>
          <w:rFonts w:cstheme="minorHAnsi"/>
          <w:sz w:val="24"/>
          <w:szCs w:val="24"/>
        </w:rPr>
      </w:pPr>
    </w:p>
    <w:p w:rsidR="007B1609" w:rsidRPr="007B1609" w:rsidRDefault="007B1609" w:rsidP="007B1609">
      <w:pPr>
        <w:pStyle w:val="ListParagraph"/>
        <w:rPr>
          <w:rFonts w:cstheme="minorHAnsi"/>
          <w:sz w:val="24"/>
          <w:szCs w:val="24"/>
        </w:rPr>
      </w:pPr>
    </w:p>
    <w:p w:rsidR="002743C2" w:rsidRDefault="00D24C10" w:rsidP="007B160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</w:pPr>
      <w:r w:rsidRPr="00FA5760"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  <w:t xml:space="preserve">ApexaiQ vs. Competitors – </w:t>
      </w:r>
    </w:p>
    <w:p w:rsidR="002743C2" w:rsidRDefault="002743C2" w:rsidP="002743C2">
      <w:pPr>
        <w:pStyle w:val="ListParagraph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</w:pPr>
    </w:p>
    <w:p w:rsidR="007B1609" w:rsidRPr="00FA5760" w:rsidRDefault="00D24C10" w:rsidP="002743C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</w:pPr>
      <w:r w:rsidRPr="00FA5760"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  <w:t>Source:</w:t>
      </w:r>
      <w:r w:rsidRPr="00FA5760">
        <w:rPr>
          <w:rFonts w:eastAsia="Times New Roman" w:cstheme="minorHAnsi"/>
          <w:sz w:val="24"/>
          <w:szCs w:val="24"/>
          <w:u w:val="single"/>
          <w:lang w:eastAsia="en-IN"/>
        </w:rPr>
        <w:t xml:space="preserve"> </w:t>
      </w:r>
      <w:hyperlink r:id="rId14" w:history="1">
        <w:r w:rsidRPr="00FA5760">
          <w:rPr>
            <w:rFonts w:eastAsia="Times New Roman" w:cstheme="minorHAnsi"/>
            <w:color w:val="0000FF"/>
            <w:sz w:val="24"/>
            <w:szCs w:val="24"/>
            <w:u w:val="single"/>
            <w:lang w:eastAsia="en-IN"/>
          </w:rPr>
          <w:t>CB Insights</w:t>
        </w:r>
      </w:hyperlink>
      <w:bookmarkStart w:id="0" w:name="_GoBack"/>
      <w:bookmarkEnd w:id="0"/>
    </w:p>
    <w:p w:rsidR="007B1609" w:rsidRPr="007B1609" w:rsidRDefault="007B1609" w:rsidP="007B1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Focus: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While all three operate in the cybersecurity space, they specialize in slightly different areas.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 ApexaiQ focuses on overall IT asset security and compliance,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emphasizes continuous security monitoring,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concentrates on vulnerability management.   </w:t>
      </w:r>
    </w:p>
    <w:p w:rsidR="007B1609" w:rsidRDefault="007B1609" w:rsidP="007B160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</w:p>
    <w:p w:rsidR="00EE539D" w:rsidRPr="007B1609" w:rsidRDefault="00EE539D" w:rsidP="007B160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</w:p>
    <w:p w:rsidR="007B1609" w:rsidRPr="007B1609" w:rsidRDefault="007B1609" w:rsidP="007B1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Key Strength: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This highlights each product's core competency.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ApexaiQ excels at real-time asset monitoring,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at compliance and risk monitoring,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at AI-driven vulnerability remediation.  </w:t>
      </w:r>
    </w:p>
    <w:p w:rsidR="007B1609" w:rsidRPr="007B1609" w:rsidRDefault="007B1609" w:rsidP="007B160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 </w:t>
      </w:r>
    </w:p>
    <w:p w:rsidR="007B1609" w:rsidRPr="007B1609" w:rsidRDefault="007B1609" w:rsidP="007B1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Asset Discovery: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All three offer asset discovery capabilities.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ApexaiQ provides full IT asset visibility,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performs broad IT scanning,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7B1609">
        <w:rPr>
          <w:rFonts w:eastAsia="Times New Roman" w:cstheme="minorHAnsi"/>
          <w:sz w:val="24"/>
          <w:szCs w:val="24"/>
          <w:lang w:eastAsia="en-IN"/>
        </w:rPr>
        <w:t>and</w:t>
      </w:r>
      <w:proofErr w:type="gram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focuses on software vulnerability detection. </w:t>
      </w:r>
    </w:p>
    <w:p w:rsidR="007B1609" w:rsidRPr="007B1609" w:rsidRDefault="007B1609" w:rsidP="00EE539D">
      <w:pPr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While there's overlap, the </w:t>
      </w:r>
      <w:r w:rsidRPr="007B1609">
        <w:rPr>
          <w:rFonts w:eastAsia="Times New Roman" w:cstheme="minorHAnsi"/>
          <w:i/>
          <w:iCs/>
          <w:sz w:val="24"/>
          <w:szCs w:val="24"/>
          <w:lang w:eastAsia="en-IN"/>
        </w:rPr>
        <w:t>scope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of what they discover might differ. For example, ApexaiQ might be more comprehensive across all asset types, while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might go deeper into software vulnerabilities specifically.   </w:t>
      </w:r>
    </w:p>
    <w:p w:rsidR="007B1609" w:rsidRPr="007B1609" w:rsidRDefault="007B1609" w:rsidP="007B1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Monitoring: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ApexaiQ offers continuous real-time tracking,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provides risk analysis and compliance alerts,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emphasizes automated patching and scanning.</w:t>
      </w:r>
    </w:p>
    <w:p w:rsidR="007B1609" w:rsidRPr="007B1609" w:rsidRDefault="007B1609" w:rsidP="007B1609">
      <w:pPr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 Again, all three "monitor," but </w:t>
      </w:r>
      <w:r w:rsidRPr="007B1609">
        <w:rPr>
          <w:rFonts w:eastAsia="Times New Roman" w:cstheme="minorHAnsi"/>
          <w:i/>
          <w:iCs/>
          <w:sz w:val="24"/>
          <w:szCs w:val="24"/>
          <w:lang w:eastAsia="en-IN"/>
        </w:rPr>
        <w:t>what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they monitor and </w:t>
      </w:r>
      <w:r w:rsidRPr="007B1609">
        <w:rPr>
          <w:rFonts w:eastAsia="Times New Roman" w:cstheme="minorHAnsi"/>
          <w:i/>
          <w:iCs/>
          <w:sz w:val="24"/>
          <w:szCs w:val="24"/>
          <w:lang w:eastAsia="en-IN"/>
        </w:rPr>
        <w:t>how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they do it varies.   </w:t>
      </w:r>
    </w:p>
    <w:p w:rsidR="007B1609" w:rsidRPr="007B1609" w:rsidRDefault="007B1609" w:rsidP="007B1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Compliance: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ApexaiQ generates automated reports for standards like ISO and GDPR.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focuses on regulatory security compliance,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on vulnerability compliance. </w:t>
      </w:r>
    </w:p>
    <w:p w:rsidR="007B1609" w:rsidRPr="007B1609" w:rsidRDefault="007B1609" w:rsidP="007B1609">
      <w:pPr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They each address compliance, but with a different emphasis.   </w:t>
      </w:r>
    </w:p>
    <w:p w:rsidR="007B1609" w:rsidRPr="007B1609" w:rsidRDefault="007B1609" w:rsidP="007B1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Best For: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This summarizes the ideal use case for each product.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 ApexaiQ is best for organizations needing full IT security and risk insights, </w:t>
      </w:r>
    </w:p>
    <w:p w:rsidR="007B1609" w:rsidRPr="007B1609" w:rsidRDefault="007B1609" w:rsidP="007B1609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for those requiring enterprise security monitoring, </w:t>
      </w:r>
    </w:p>
    <w:p w:rsidR="007B1609" w:rsidRPr="007B1609" w:rsidRDefault="007B1609" w:rsidP="00EE539D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for those prioritizing automated vulnerability patching.</w:t>
      </w:r>
    </w:p>
    <w:p w:rsidR="007B1609" w:rsidRPr="007B1609" w:rsidRDefault="007B1609" w:rsidP="00EE539D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In essence:</w:t>
      </w:r>
    </w:p>
    <w:p w:rsidR="007B1609" w:rsidRPr="007B1609" w:rsidRDefault="007B1609" w:rsidP="00EE539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ApexaiQ</w:t>
      </w:r>
      <w:r w:rsidRPr="007B1609">
        <w:rPr>
          <w:rFonts w:eastAsia="Times New Roman" w:cstheme="minorHAnsi"/>
          <w:sz w:val="24"/>
          <w:szCs w:val="24"/>
          <w:lang w:eastAsia="en-IN"/>
        </w:rPr>
        <w:t xml:space="preserve"> is the most comprehensive, offering a broad view of IT asset security and compliance. Think of it as a holistic platform.   </w:t>
      </w:r>
    </w:p>
    <w:p w:rsidR="007B1609" w:rsidRPr="007B1609" w:rsidRDefault="007B1609" w:rsidP="00EE539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 xml:space="preserve">Quod </w:t>
      </w:r>
      <w:proofErr w:type="spellStart"/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is geared towards continuous security monitoring, likely providing in-depth analysis and alerts related to security posture and risk.   </w:t>
      </w:r>
    </w:p>
    <w:p w:rsidR="007B1609" w:rsidRPr="007B1609" w:rsidRDefault="007B1609" w:rsidP="00EE539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B1609">
        <w:rPr>
          <w:rFonts w:eastAsia="Times New Roman" w:cstheme="minorHAnsi"/>
          <w:b/>
          <w:bCs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is more specialized, focusing on identifying and remediating vulnerabilities, particularly in software.   </w:t>
      </w:r>
    </w:p>
    <w:p w:rsidR="00234604" w:rsidRPr="00EE539D" w:rsidRDefault="007B1609" w:rsidP="00EE539D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B1609">
        <w:rPr>
          <w:rFonts w:eastAsia="Times New Roman" w:cstheme="minorHAnsi"/>
          <w:sz w:val="24"/>
          <w:szCs w:val="24"/>
          <w:lang w:eastAsia="en-IN"/>
        </w:rPr>
        <w:t xml:space="preserve">The best choice for a particular organization depends on their specific security needs and priorities. A company needing a broad overview of their IT security posture might choose ApexaiQ. One focused on meeting specific regulatory requirements might lean towards Quod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lastRenderedPageBreak/>
        <w:t>Orbis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. And a company struggling with patching vulnerabilities quickly might find </w:t>
      </w:r>
      <w:proofErr w:type="spellStart"/>
      <w:r w:rsidRPr="007B1609">
        <w:rPr>
          <w:rFonts w:eastAsia="Times New Roman" w:cstheme="minorHAnsi"/>
          <w:sz w:val="24"/>
          <w:szCs w:val="24"/>
          <w:lang w:eastAsia="en-IN"/>
        </w:rPr>
        <w:t>Vicarius</w:t>
      </w:r>
      <w:proofErr w:type="spellEnd"/>
      <w:r w:rsidRPr="007B1609">
        <w:rPr>
          <w:rFonts w:eastAsia="Times New Roman" w:cstheme="minorHAnsi"/>
          <w:sz w:val="24"/>
          <w:szCs w:val="24"/>
          <w:lang w:eastAsia="en-IN"/>
        </w:rPr>
        <w:t xml:space="preserve"> the best fit.</w:t>
      </w:r>
    </w:p>
    <w:sectPr w:rsidR="00234604" w:rsidRPr="00EE539D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CF3" w:rsidRDefault="00E27CF3">
      <w:pPr>
        <w:spacing w:after="0" w:line="240" w:lineRule="auto"/>
      </w:pPr>
      <w:r>
        <w:separator/>
      </w:r>
    </w:p>
  </w:endnote>
  <w:endnote w:type="continuationSeparator" w:id="0">
    <w:p w:rsidR="00E27CF3" w:rsidRDefault="00E27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40641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143" w:rsidRDefault="00D24C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43C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E1143" w:rsidRDefault="00E27C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CF3" w:rsidRDefault="00E27CF3">
      <w:pPr>
        <w:spacing w:after="0" w:line="240" w:lineRule="auto"/>
      </w:pPr>
      <w:r>
        <w:separator/>
      </w:r>
    </w:p>
  </w:footnote>
  <w:footnote w:type="continuationSeparator" w:id="0">
    <w:p w:rsidR="00E27CF3" w:rsidRDefault="00E27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B6F83"/>
    <w:multiLevelType w:val="hybridMultilevel"/>
    <w:tmpl w:val="7D8CFE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B41778"/>
    <w:multiLevelType w:val="multilevel"/>
    <w:tmpl w:val="28E4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1A32E3"/>
    <w:multiLevelType w:val="hybridMultilevel"/>
    <w:tmpl w:val="537AE0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A503C"/>
    <w:multiLevelType w:val="multilevel"/>
    <w:tmpl w:val="8ABCC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C27D7A"/>
    <w:multiLevelType w:val="multilevel"/>
    <w:tmpl w:val="297E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4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934AAD"/>
    <w:multiLevelType w:val="hybridMultilevel"/>
    <w:tmpl w:val="29DAD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E23E4"/>
    <w:multiLevelType w:val="multilevel"/>
    <w:tmpl w:val="1C98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0B4E4F"/>
    <w:multiLevelType w:val="hybridMultilevel"/>
    <w:tmpl w:val="00E22F9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C10"/>
    <w:rsid w:val="00234604"/>
    <w:rsid w:val="002743C2"/>
    <w:rsid w:val="004969CF"/>
    <w:rsid w:val="00524EE4"/>
    <w:rsid w:val="0063771D"/>
    <w:rsid w:val="007104D4"/>
    <w:rsid w:val="007B1609"/>
    <w:rsid w:val="00C23C96"/>
    <w:rsid w:val="00D24C10"/>
    <w:rsid w:val="00E27CF3"/>
    <w:rsid w:val="00EE539D"/>
    <w:rsid w:val="00FA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A29A36-987A-4CF0-9CD8-8E3F1ACCA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24C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C10"/>
  </w:style>
  <w:style w:type="paragraph" w:styleId="ListParagraph">
    <w:name w:val="List Paragraph"/>
    <w:basedOn w:val="Normal"/>
    <w:uiPriority w:val="34"/>
    <w:qFormat/>
    <w:rsid w:val="00D24C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4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24C10"/>
    <w:rPr>
      <w:b/>
      <w:bCs/>
    </w:rPr>
  </w:style>
  <w:style w:type="table" w:styleId="PlainTable1">
    <w:name w:val="Plain Table 1"/>
    <w:basedOn w:val="TableNormal"/>
    <w:uiPriority w:val="41"/>
    <w:rsid w:val="00D24C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itation-2">
    <w:name w:val="citation-2"/>
    <w:basedOn w:val="DefaultParagraphFont"/>
    <w:rsid w:val="00524EE4"/>
  </w:style>
  <w:style w:type="character" w:customStyle="1" w:styleId="citation-3">
    <w:name w:val="citation-3"/>
    <w:basedOn w:val="DefaultParagraphFont"/>
    <w:rsid w:val="00524EE4"/>
  </w:style>
  <w:style w:type="character" w:customStyle="1" w:styleId="citation-4">
    <w:name w:val="citation-4"/>
    <w:basedOn w:val="DefaultParagraphFont"/>
    <w:rsid w:val="00524EE4"/>
  </w:style>
  <w:style w:type="character" w:customStyle="1" w:styleId="citation-0">
    <w:name w:val="citation-0"/>
    <w:basedOn w:val="DefaultParagraphFont"/>
    <w:rsid w:val="007B1609"/>
  </w:style>
  <w:style w:type="character" w:customStyle="1" w:styleId="button-container">
    <w:name w:val="button-container"/>
    <w:basedOn w:val="DefaultParagraphFont"/>
    <w:rsid w:val="007B1609"/>
  </w:style>
  <w:style w:type="character" w:customStyle="1" w:styleId="citation-1">
    <w:name w:val="citation-1"/>
    <w:basedOn w:val="DefaultParagraphFont"/>
    <w:rsid w:val="007B1609"/>
  </w:style>
  <w:style w:type="character" w:styleId="Emphasis">
    <w:name w:val="Emphasis"/>
    <w:basedOn w:val="DefaultParagraphFont"/>
    <w:uiPriority w:val="20"/>
    <w:qFormat/>
    <w:rsid w:val="007B1609"/>
    <w:rPr>
      <w:i/>
      <w:iCs/>
    </w:rPr>
  </w:style>
  <w:style w:type="character" w:customStyle="1" w:styleId="citation-5">
    <w:name w:val="citation-5"/>
    <w:basedOn w:val="DefaultParagraphFont"/>
    <w:rsid w:val="007B1609"/>
  </w:style>
  <w:style w:type="character" w:customStyle="1" w:styleId="citation-6">
    <w:name w:val="citation-6"/>
    <w:basedOn w:val="DefaultParagraphFont"/>
    <w:rsid w:val="007B1609"/>
  </w:style>
  <w:style w:type="character" w:customStyle="1" w:styleId="citation-7">
    <w:name w:val="citation-7"/>
    <w:basedOn w:val="DefaultParagraphFont"/>
    <w:rsid w:val="007B1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33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7.sv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cbinsights.com/company/apexa-iq/alternatives-competito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2025-02-12T13:18:00Z</dcterms:created>
  <dcterms:modified xsi:type="dcterms:W3CDTF">2025-02-13T11:57:00Z</dcterms:modified>
</cp:coreProperties>
</file>