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"Vitamin C remains important for collagen formation, tissue maintenance, immune function and absorption of non-haem iron — not only during early recovery, but as an ongoing everyday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(NIH vitamin C guidance).</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Week 99's iron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Week 99's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a moong dal (1/2 cup),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fresh amla (3-4 pieces)</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Khasta kachori (2 pieces)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If something hurts, choosing a gentler vitamin C source like capsicum or tomato instead of citrus or amla is a reasonable alternative; persistent sensitivity is worth mentioning to your dentist.</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masoor dal (1/2 cup), rice (1 cup cooked) and a capsicum-tomato salad</w:t>
      </w:r>
    </w:p>
    <w:p>
      <w:pPr>
        <w:spacing w:after="70"/>
      </w:pPr>
      <w:r>
        <w:t xml:space="preserve">B. Galouti kebab (100g mutton mince) with rice (1 cup cooked) and a capsicum-tomato salad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2026-09-08T14:24:26.262Z</dcterms:created>
  <dcterms:modified xsi:type="dcterms:W3CDTF">2026-09-08T14:24:26.262Z</dcterms:modified>
</cp:coreProperties>
</file>

<file path=docProps/custom.xml><?xml version="1.0" encoding="utf-8"?>
<Properties xmlns="http://schemas.openxmlformats.org/officeDocument/2006/custom-properties" xmlns:vt="http://schemas.openxmlformats.org/officeDocument/2006/docPropsVTypes"/>
</file>