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can affect how aware you are of it and how much you eat — but your meal's size and composition still matter too, not just how present you were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reduced awareness and memory of what you ate, and may influence how much some people eat. This doesn't mean your meal's size, composition or your actual hunger don't matter too — if you're hungry after eating, it's fine to eat more, distracted or not. This week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Distraction can affect awareness and memory of a meal, and may influence how much some people eat. Your meal's size and composition, activity and other needs still matter too — if you're hungry afterwards, it's okay to eat.</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spiced black-chickpea curry (1 cup, includes a measured 1/2 cup cooked chana)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reduced awareness and recall of what was eaten.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Moong-masoor dal, Jharkhandi-style mixed lentil curry (1 cup, includes a measured 1/2 cup cooked mixed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 chana ghugni, and a bhindi bhaja</w:t>
      </w:r>
    </w:p>
    <w:p>
      <w:pPr>
        <w:spacing w:after="70"/>
      </w:pPr>
      <w:r>
        <w:t xml:space="preserve">B. Egg curry (2 eggs) with rice (1 cup cooked), a chana ghugni,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2026-09-09T07:03:26.367Z</dcterms:created>
  <dcterms:modified xsi:type="dcterms:W3CDTF">2026-09-09T07:03:26.368Z</dcterms:modified>
</cp:coreProperties>
</file>

<file path=docProps/custom.xml><?xml version="1.0" encoding="utf-8"?>
<Properties xmlns="http://schemas.openxmlformats.org/officeDocument/2006/custom-properties" xmlns:vt="http://schemas.openxmlformats.org/officeDocument/2006/docPropsVTypes"/>
</file>