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anchor xmlns:wp="http://schemas.openxmlformats.org/drawingml/2006/wordprocessingDrawing" distT="0" distB="0" distL="0" distR="0" simplePos="0" relativeHeight="1" behindDoc="1" locked="1" layoutInCell="0" allowOverlap="1">
            <wp:simplePos x="0" y="0"/>
            <wp:positionH relativeFrom="page">
              <wp:posOffset>0</wp:posOffset>
            </wp:positionH>
            <wp:positionV relativeFrom="page">
              <wp:posOffset>0</wp:posOffset>
            </wp:positionV>
            <wp:extent cx="7772400" cy="10058400"/>
            <wp:wrapNone/>
            <wp:docPr id="1" nam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xmlns:r="http://schemas.openxmlformats.org/officeDocument/2006/relationships" r:embed="rId11"/>
                    <a:stretch>
                      <a:fillRect/>
                    </a:stretch>
                  </pic:blipFill>
                  <pic:spPr>
                    <a:xfrm>
                      <a:off x="0" y="0"/>
                      <a:ext cx="7772400" cy="10058400"/>
                    </a:xfrm>
                    <a:prstGeom prst="rect">
                      <a:avLst/>
                    </a:prstGeom>
                  </pic:spPr>
                </pic:pic>
              </a:graphicData>
            </a:graphic>
          </wp:anchor>
        </w:drawing>
      </w:r>
    </w:p>
    <w:p>
      <w:r>
        <w:br w:type="page"/>
      </w:r>
    </w:p>
    <w:p>
      <w:pPr>
        <w:pStyle w:val="Title"/>
      </w:pPr>
      <w:r>
        <w:t>Publication Note</w:t>
      </w:r>
    </w:p>
    <w:p>
      <w:pPr>
        <w:widowControl/>
      </w:pPr>
      <w:r>
        <w:rPr>
          <w:rFonts w:ascii="Aptos" w:hAnsi="Aptos"/>
          <w:b w:val="0"/>
          <w:i w:val="0"/>
          <w:color w:val="24323D"/>
          <w:sz w:val="21"/>
        </w:rPr>
        <w:t>This is a consolidated editorial manuscript prepared for Mom’s Village. It combines practical financial education with a warm, non-judgemental voice for Indian mothers.</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EDITION AND ACCURACY</w:t>
            </w:r>
          </w:p>
          <w:p>
            <w:pPr>
              <w:spacing w:after="0"/>
            </w:pPr>
            <w:r>
              <w:rPr>
                <w:rFonts w:ascii="Aptos" w:hAnsi="Aptos"/>
                <w:b w:val="0"/>
                <w:i w:val="0"/>
                <w:color w:val="24323D"/>
                <w:sz w:val="20"/>
              </w:rPr>
              <w:t>Financial rules, tax provisions, interest rates, eligibility conditions, portals and helplines can change. Time-sensitive material was checked against official Indian sources available on 22 July 2026. Every item must be rechecked immediately before publication and for later editions.</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F9ECEB"/>
          </w:tcPr>
          <w:p>
            <w:pPr>
              <w:spacing w:after="80"/>
            </w:pPr>
            <w:r>
              <w:rPr>
                <w:rFonts w:ascii="Aptos" w:hAnsi="Aptos"/>
                <w:b/>
                <w:i w:val="0"/>
                <w:color w:val="9B3A35"/>
                <w:sz w:val="18"/>
              </w:rPr>
              <w:t>IMPORTANT DISCLAIMER</w:t>
            </w:r>
          </w:p>
          <w:p>
            <w:pPr>
              <w:spacing w:after="0"/>
            </w:pPr>
            <w:r>
              <w:rPr>
                <w:rFonts w:ascii="Aptos" w:hAnsi="Aptos"/>
                <w:b w:val="0"/>
                <w:i w:val="0"/>
                <w:color w:val="24323D"/>
                <w:sz w:val="20"/>
              </w:rPr>
              <w:t>This book provides general education. It is not personalised investment, insurance, tax, legal, credit or estate-planning advice. A reader should consider her circumstances and consult appropriately registered or qualified professionals where needed.</w:t>
            </w:r>
          </w:p>
        </w:tc>
      </w:tr>
    </w:tbl>
    <w:p>
      <w:pPr>
        <w:spacing w:after="20"/>
      </w:pPr>
    </w:p>
    <w:p>
      <w:pPr>
        <w:pStyle w:val="MVSource"/>
        <w:widowControl/>
      </w:pPr>
      <w:r>
        <w:rPr>
          <w:rFonts w:ascii="Aptos" w:hAnsi="Aptos"/>
          <w:b w:val="0"/>
          <w:i w:val="0"/>
          <w:color w:val="24323D"/>
          <w:sz w:val="21"/>
        </w:rPr>
        <w:t>Illustrative stories in this manuscript are composites created to explain common experiences. They do not describe identifiable individuals.</w:t>
      </w:r>
    </w:p>
    <w:p>
      <w:r>
        <w:br w:type="page"/>
      </w:r>
    </w:p>
    <w:p>
      <w:pPr>
        <w:pStyle w:val="Title"/>
      </w:pPr>
      <w:r>
        <w:t>Welcome to Mom’s Village</w:t>
      </w:r>
    </w:p>
    <w:p>
      <w:pPr>
        <w:widowControl/>
      </w:pPr>
      <w:r>
        <w:rPr>
          <w:rFonts w:ascii="Aptos" w:hAnsi="Aptos"/>
          <w:b w:val="0"/>
          <w:i w:val="0"/>
          <w:color w:val="24323D"/>
          <w:sz w:val="21"/>
        </w:rPr>
        <w:t>Dear Mom,</w:t>
      </w:r>
    </w:p>
    <w:p>
      <w:pPr>
        <w:widowControl/>
      </w:pPr>
      <w:r>
        <w:rPr>
          <w:rFonts w:ascii="Aptos" w:hAnsi="Aptos"/>
          <w:b w:val="0"/>
          <w:i w:val="0"/>
          <w:color w:val="24323D"/>
          <w:sz w:val="21"/>
        </w:rPr>
        <w:t>Can I tell you something I wish someone had told me earlier? You do not need to become a financial expert to feel secure. You need enough understanding to see what is happening, ask good questions and take the next thoughtful step.</w:t>
      </w:r>
    </w:p>
    <w:p>
      <w:pPr>
        <w:widowControl/>
      </w:pPr>
      <w:r>
        <w:rPr>
          <w:rFonts w:ascii="Aptos" w:hAnsi="Aptos"/>
          <w:b w:val="0"/>
          <w:i w:val="0"/>
          <w:color w:val="24323D"/>
          <w:sz w:val="21"/>
        </w:rPr>
        <w:t>Perhaps your family is comfortable, yet you feel personally uncertain after pausing a career. Perhaps you manage the home but not the investments. Perhaps you want to earn from home one day. Or perhaps you simply want to know that if life changes, you will not be starting from zero.</w:t>
      </w:r>
    </w:p>
    <w:p>
      <w:pPr>
        <w:widowControl/>
      </w:pPr>
      <w:r>
        <w:rPr>
          <w:rFonts w:ascii="Aptos" w:hAnsi="Aptos"/>
          <w:b w:val="0"/>
          <w:i w:val="0"/>
          <w:color w:val="24323D"/>
          <w:sz w:val="21"/>
        </w:rPr>
        <w:t>This companion will not tell you that every mother must work, invest aggressively or become an entrepreneur. It will help you understand choices: how money moves through a family, how to create a safety net, how common financial products work, where risk hides, how to protect documents and how to find reliable help.</w:t>
      </w:r>
    </w:p>
    <w:p>
      <w:pPr>
        <w:widowControl/>
      </w:pPr>
      <w:r>
        <w:rPr>
          <w:rFonts w:ascii="Aptos" w:hAnsi="Aptos"/>
          <w:b w:val="0"/>
          <w:i w:val="0"/>
          <w:color w:val="24323D"/>
          <w:sz w:val="21"/>
        </w:rPr>
        <w:t>Read one chapter at a time. If your child wakes halfway through, close the book. We will be here when you return.</w:t>
      </w:r>
    </w:p>
    <w:p>
      <w:pPr>
        <w:widowControl/>
      </w:pPr>
      <w:r>
        <w:rPr>
          <w:rFonts w:ascii="Aptos" w:hAnsi="Aptos"/>
          <w:b w:val="0"/>
          <w:i w:val="0"/>
          <w:color w:val="24323D"/>
          <w:sz w:val="21"/>
        </w:rPr>
        <w:t>With love,</w:t>
      </w:r>
    </w:p>
    <w:p>
      <w:pPr>
        <w:widowControl/>
      </w:pPr>
      <w:r>
        <w:rPr>
          <w:rFonts w:ascii="Aptos" w:hAnsi="Aptos"/>
          <w:b/>
          <w:i w:val="0"/>
          <w:color w:val="24445C"/>
          <w:sz w:val="24"/>
        </w:rPr>
        <w:t>Mom's Village</w:t>
      </w:r>
    </w:p>
    <w:p>
      <w:r>
        <w:br w:type="page"/>
      </w:r>
    </w:p>
    <w:p>
      <w:pPr>
        <w:pStyle w:val="Title"/>
      </w:pPr>
      <w:r>
        <w:t>How to Use This Companion</w:t>
      </w:r>
    </w:p>
    <w:p>
      <w:pPr>
        <w:pStyle w:val="ListBullet"/>
        <w:spacing w:after="60"/>
        <w:ind w:left="504" w:hanging="259"/>
      </w:pPr>
      <w:r>
        <w:rPr>
          <w:rFonts w:ascii="Aptos" w:hAnsi="Aptos"/>
          <w:b w:val="0"/>
          <w:i w:val="0"/>
          <w:color w:val="24323D"/>
          <w:sz w:val="20"/>
        </w:rPr>
        <w:t>Read in order for the full journey, or use the contents page to find a specific question.</w:t>
      </w:r>
    </w:p>
    <w:p>
      <w:pPr>
        <w:pStyle w:val="ListBullet"/>
        <w:spacing w:after="60"/>
        <w:ind w:left="504" w:hanging="259"/>
      </w:pPr>
      <w:r>
        <w:rPr>
          <w:rFonts w:ascii="Aptos" w:hAnsi="Aptos"/>
          <w:b w:val="0"/>
          <w:i w:val="0"/>
          <w:color w:val="24323D"/>
          <w:sz w:val="20"/>
        </w:rPr>
        <w:t>Complete only one “Try This Today” action at a time.</w:t>
      </w:r>
    </w:p>
    <w:p>
      <w:pPr>
        <w:pStyle w:val="ListBullet"/>
        <w:spacing w:after="60"/>
        <w:ind w:left="504" w:hanging="259"/>
      </w:pPr>
      <w:r>
        <w:rPr>
          <w:rFonts w:ascii="Aptos" w:hAnsi="Aptos"/>
          <w:b w:val="0"/>
          <w:i w:val="0"/>
          <w:color w:val="24323D"/>
          <w:sz w:val="20"/>
        </w:rPr>
        <w:t>Keep the planner pages near your family financial folder.</w:t>
      </w:r>
    </w:p>
    <w:p>
      <w:pPr>
        <w:pStyle w:val="ListBullet"/>
        <w:spacing w:after="60"/>
        <w:ind w:left="504" w:hanging="259"/>
      </w:pPr>
      <w:r>
        <w:rPr>
          <w:rFonts w:ascii="Aptos" w:hAnsi="Aptos"/>
          <w:b w:val="0"/>
          <w:i w:val="0"/>
          <w:color w:val="24323D"/>
          <w:sz w:val="20"/>
        </w:rPr>
        <w:t>Never write passwords, PINs, OTPs or card security codes in the book.</w:t>
      </w:r>
    </w:p>
    <w:p>
      <w:pPr>
        <w:pStyle w:val="ListBullet"/>
        <w:spacing w:after="60"/>
        <w:ind w:left="504" w:hanging="259"/>
      </w:pPr>
      <w:r>
        <w:rPr>
          <w:rFonts w:ascii="Aptos" w:hAnsi="Aptos"/>
          <w:b w:val="0"/>
          <w:i w:val="0"/>
          <w:color w:val="24323D"/>
          <w:sz w:val="20"/>
        </w:rPr>
        <w:t>Verify current rules on official portals before acting.</w:t>
      </w:r>
    </w:p>
    <w:p>
      <w:pPr>
        <w:pStyle w:val="ListBullet"/>
        <w:spacing w:after="60"/>
        <w:ind w:left="504" w:hanging="259"/>
      </w:pPr>
      <w:r>
        <w:rPr>
          <w:rFonts w:ascii="Aptos" w:hAnsi="Aptos"/>
          <w:b w:val="0"/>
          <w:i w:val="0"/>
          <w:color w:val="24323D"/>
          <w:sz w:val="20"/>
        </w:rPr>
        <w:t>Return after a major life change: childbirth, career move, illness, loan, inheritance, separation or retirement.</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THE RHYTHM OF EVERY CHAPTER</w:t>
            </w:r>
          </w:p>
          <w:p>
            <w:pPr>
              <w:spacing w:after="0"/>
            </w:pPr>
            <w:r>
              <w:rPr>
                <w:rFonts w:ascii="Aptos" w:hAnsi="Aptos"/>
                <w:b w:val="0"/>
                <w:i w:val="0"/>
                <w:color w:val="24323D"/>
                <w:sz w:val="20"/>
              </w:rPr>
              <w:t>Understand one idea. Connect it to real life. Notice the risks. Take one small action. Financial confidence grows through repetition, not pressure.</w:t>
            </w:r>
          </w:p>
        </w:tc>
      </w:tr>
    </w:tbl>
    <w:p>
      <w:pPr>
        <w:spacing w:after="20"/>
      </w:pPr>
    </w:p>
    <w:p>
      <w:r>
        <w:br w:type="page"/>
      </w:r>
    </w:p>
    <w:p>
      <w:pPr>
        <w:pStyle w:val="Title"/>
      </w:pPr>
      <w:r>
        <w:t>Contents</w:t>
      </w:r>
    </w:p>
    <w:p>
      <w:pPr>
        <w:pStyle w:val="Heading1"/>
      </w:pPr>
      <w:r>
        <w:t>PART I — A New Relationship with Money</w:t>
      </w:r>
    </w:p>
    <w:tbl>
      <w:tblPr>
        <w:tblStyle w:val="TableGrid"/>
        <w:tblW w:type="dxa" w:w="9360"/>
        <w:jc w:val="center"/>
        <w:tblLayout w:type="fixed"/>
        <w:tblLook w:firstColumn="1" w:firstRow="1" w:lastColumn="0" w:lastRow="0" w:noHBand="0" w:noVBand="1" w:val="04A0"/>
        <w:tblInd w:w="120" w:type="dxa"/>
      </w:tblPr>
      <w:tblGrid>
        <w:gridCol w:w="1200"/>
        <w:gridCol w:w="8160"/>
      </w:tblGrid>
      <w:tr>
        <w:trPr>
          <w:tblHeader w:val="true"/>
        </w:trPr>
        <w:tc>
          <w:tcPr>
            <w:tcW w:type="dxa" w:w="1200"/>
            <w:tcMar>
              <w:top w:w="90" w:type="dxa"/>
              <w:start w:w="120" w:type="dxa"/>
              <w:bottom w:w="90" w:type="dxa"/>
              <w:end w:w="120" w:type="dxa"/>
            </w:tcMar>
            <w:shd w:fill="24445C"/>
            <w:vAlign w:val="center"/>
          </w:tcPr>
          <w:p>
            <w:pPr>
              <w:spacing w:after="0"/>
            </w:pPr>
            <w:r>
              <w:rPr>
                <w:rFonts w:ascii="Aptos" w:hAnsi="Aptos"/>
                <w:b/>
                <w:i w:val="0"/>
                <w:color w:val="FFFFFF"/>
                <w:sz w:val="18"/>
              </w:rPr>
              <w:t>Chapter</w:t>
            </w:r>
          </w:p>
        </w:tc>
        <w:tc>
          <w:tcPr>
            <w:tcW w:type="dxa" w:w="8160"/>
            <w:tcMar>
              <w:top w:w="90" w:type="dxa"/>
              <w:start w:w="120" w:type="dxa"/>
              <w:bottom w:w="90" w:type="dxa"/>
              <w:end w:w="120" w:type="dxa"/>
            </w:tcMar>
            <w:shd w:fill="24445C"/>
            <w:vAlign w:val="center"/>
          </w:tcPr>
          <w:p>
            <w:pPr>
              <w:spacing w:after="0"/>
            </w:pPr>
            <w:r>
              <w:rPr>
                <w:rFonts w:ascii="Aptos" w:hAnsi="Aptos"/>
                <w:b/>
                <w:i w:val="0"/>
                <w:color w:val="FFFFFF"/>
                <w:sz w:val="18"/>
              </w:rPr>
              <w:t>Title</w:t>
            </w:r>
          </w:p>
        </w:tc>
      </w:tr>
      <w:tr>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8"/>
              </w:rPr>
              <w:t>1</w:t>
            </w:r>
          </w:p>
        </w:tc>
        <w:tc>
          <w:tcPr>
            <w:tcW w:type="dxa" w:w="8160"/>
            <w:tcMar>
              <w:top w:w="90" w:type="dxa"/>
              <w:start w:w="120" w:type="dxa"/>
              <w:bottom w:w="90" w:type="dxa"/>
              <w:end w:w="120" w:type="dxa"/>
            </w:tcMar>
            <w:vAlign w:val="center"/>
          </w:tcPr>
          <w:p>
            <w:pPr>
              <w:spacing w:after="0" w:line="252" w:lineRule="auto"/>
            </w:pPr>
            <w:r>
              <w:rPr>
                <w:rFonts w:ascii="Aptos" w:hAnsi="Aptos"/>
                <w:b w:val="0"/>
                <w:i w:val="0"/>
                <w:color w:val="24323D"/>
                <w:sz w:val="18"/>
              </w:rPr>
              <w:t>You Haven’t Lost Yourself</w:t>
            </w:r>
          </w:p>
        </w:tc>
      </w:tr>
      <w:tr>
        <w:tc>
          <w:tcPr>
            <w:tcW w:type="dxa" w:w="1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2</w:t>
            </w:r>
          </w:p>
        </w:tc>
        <w:tc>
          <w:tcPr>
            <w:tcW w:type="dxa" w:w="8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What Financial Confidence Really Means</w:t>
            </w:r>
          </w:p>
        </w:tc>
      </w:tr>
      <w:tr>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8"/>
              </w:rPr>
              <w:t>3</w:t>
            </w:r>
          </w:p>
        </w:tc>
        <w:tc>
          <w:tcPr>
            <w:tcW w:type="dxa" w:w="8160"/>
            <w:tcMar>
              <w:top w:w="90" w:type="dxa"/>
              <w:start w:w="120" w:type="dxa"/>
              <w:bottom w:w="90" w:type="dxa"/>
              <w:end w:w="120" w:type="dxa"/>
            </w:tcMar>
            <w:vAlign w:val="center"/>
          </w:tcPr>
          <w:p>
            <w:pPr>
              <w:spacing w:after="0" w:line="252" w:lineRule="auto"/>
            </w:pPr>
            <w:r>
              <w:rPr>
                <w:rFonts w:ascii="Aptos" w:hAnsi="Aptos"/>
                <w:b w:val="0"/>
                <w:i w:val="0"/>
                <w:color w:val="24323D"/>
                <w:sz w:val="18"/>
              </w:rPr>
              <w:t>Money Is a Tool, Not a Test</w:t>
            </w:r>
          </w:p>
        </w:tc>
      </w:tr>
      <w:tr>
        <w:tc>
          <w:tcPr>
            <w:tcW w:type="dxa" w:w="1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4</w:t>
            </w:r>
          </w:p>
        </w:tc>
        <w:tc>
          <w:tcPr>
            <w:tcW w:type="dxa" w:w="8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Where Does the Money Go?</w:t>
            </w:r>
          </w:p>
        </w:tc>
      </w:tr>
      <w:tr>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8"/>
              </w:rPr>
              <w:t>5</w:t>
            </w:r>
          </w:p>
        </w:tc>
        <w:tc>
          <w:tcPr>
            <w:tcW w:type="dxa" w:w="8160"/>
            <w:tcMar>
              <w:top w:w="90" w:type="dxa"/>
              <w:start w:w="120" w:type="dxa"/>
              <w:bottom w:w="90" w:type="dxa"/>
              <w:end w:w="120" w:type="dxa"/>
            </w:tcMar>
            <w:vAlign w:val="center"/>
          </w:tcPr>
          <w:p>
            <w:pPr>
              <w:spacing w:after="0" w:line="252" w:lineRule="auto"/>
            </w:pPr>
            <w:r>
              <w:rPr>
                <w:rFonts w:ascii="Aptos" w:hAnsi="Aptos"/>
                <w:b w:val="0"/>
                <w:i w:val="0"/>
                <w:color w:val="24323D"/>
                <w:sz w:val="18"/>
              </w:rPr>
              <w:t>Looking at Your Money Without Fear</w:t>
            </w:r>
          </w:p>
        </w:tc>
      </w:tr>
    </w:tbl>
    <w:p>
      <w:pPr>
        <w:spacing w:after="20"/>
      </w:pPr>
    </w:p>
    <w:p>
      <w:pPr>
        <w:pStyle w:val="Heading1"/>
      </w:pPr>
      <w:r>
        <w:t>PART II — Building Your Financial Foundation</w:t>
      </w:r>
    </w:p>
    <w:tbl>
      <w:tblPr>
        <w:tblStyle w:val="TableGrid"/>
        <w:tblW w:type="dxa" w:w="9360"/>
        <w:jc w:val="center"/>
        <w:tblLayout w:type="fixed"/>
        <w:tblLook w:firstColumn="1" w:firstRow="1" w:lastColumn="0" w:lastRow="0" w:noHBand="0" w:noVBand="1" w:val="04A0"/>
        <w:tblInd w:w="120" w:type="dxa"/>
      </w:tblPr>
      <w:tblGrid>
        <w:gridCol w:w="1200"/>
        <w:gridCol w:w="8160"/>
      </w:tblGrid>
      <w:tr>
        <w:trPr>
          <w:tblHeader w:val="true"/>
        </w:trPr>
        <w:tc>
          <w:tcPr>
            <w:tcW w:type="dxa" w:w="1200"/>
            <w:tcMar>
              <w:top w:w="90" w:type="dxa"/>
              <w:start w:w="120" w:type="dxa"/>
              <w:bottom w:w="90" w:type="dxa"/>
              <w:end w:w="120" w:type="dxa"/>
            </w:tcMar>
            <w:shd w:fill="24445C"/>
            <w:vAlign w:val="center"/>
          </w:tcPr>
          <w:p>
            <w:pPr>
              <w:spacing w:after="0"/>
            </w:pPr>
            <w:r>
              <w:rPr>
                <w:rFonts w:ascii="Aptos" w:hAnsi="Aptos"/>
                <w:b/>
                <w:i w:val="0"/>
                <w:color w:val="FFFFFF"/>
                <w:sz w:val="18"/>
              </w:rPr>
              <w:t>Chapter</w:t>
            </w:r>
          </w:p>
        </w:tc>
        <w:tc>
          <w:tcPr>
            <w:tcW w:type="dxa" w:w="8160"/>
            <w:tcMar>
              <w:top w:w="90" w:type="dxa"/>
              <w:start w:w="120" w:type="dxa"/>
              <w:bottom w:w="90" w:type="dxa"/>
              <w:end w:w="120" w:type="dxa"/>
            </w:tcMar>
            <w:shd w:fill="24445C"/>
            <w:vAlign w:val="center"/>
          </w:tcPr>
          <w:p>
            <w:pPr>
              <w:spacing w:after="0"/>
            </w:pPr>
            <w:r>
              <w:rPr>
                <w:rFonts w:ascii="Aptos" w:hAnsi="Aptos"/>
                <w:b/>
                <w:i w:val="0"/>
                <w:color w:val="FFFFFF"/>
                <w:sz w:val="18"/>
              </w:rPr>
              <w:t>Title</w:t>
            </w:r>
          </w:p>
        </w:tc>
      </w:tr>
      <w:tr>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8"/>
              </w:rPr>
              <w:t>6</w:t>
            </w:r>
          </w:p>
        </w:tc>
        <w:tc>
          <w:tcPr>
            <w:tcW w:type="dxa" w:w="8160"/>
            <w:tcMar>
              <w:top w:w="90" w:type="dxa"/>
              <w:start w:w="120" w:type="dxa"/>
              <w:bottom w:w="90" w:type="dxa"/>
              <w:end w:w="120" w:type="dxa"/>
            </w:tcMar>
            <w:vAlign w:val="center"/>
          </w:tcPr>
          <w:p>
            <w:pPr>
              <w:spacing w:after="0" w:line="252" w:lineRule="auto"/>
            </w:pPr>
            <w:r>
              <w:rPr>
                <w:rFonts w:ascii="Aptos" w:hAnsi="Aptos"/>
                <w:b w:val="0"/>
                <w:i w:val="0"/>
                <w:color w:val="24323D"/>
                <w:sz w:val="18"/>
              </w:rPr>
              <w:t>Preparing for Rainy Days</w:t>
            </w:r>
          </w:p>
        </w:tc>
      </w:tr>
      <w:tr>
        <w:tc>
          <w:tcPr>
            <w:tcW w:type="dxa" w:w="1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7</w:t>
            </w:r>
          </w:p>
        </w:tc>
        <w:tc>
          <w:tcPr>
            <w:tcW w:type="dxa" w:w="8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A Budget Isn’t a Diet</w:t>
            </w:r>
          </w:p>
        </w:tc>
      </w:tr>
      <w:tr>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8"/>
              </w:rPr>
              <w:t>8</w:t>
            </w:r>
          </w:p>
        </w:tc>
        <w:tc>
          <w:tcPr>
            <w:tcW w:type="dxa" w:w="8160"/>
            <w:tcMar>
              <w:top w:w="90" w:type="dxa"/>
              <w:start w:w="120" w:type="dxa"/>
              <w:bottom w:w="90" w:type="dxa"/>
              <w:end w:w="120" w:type="dxa"/>
            </w:tcMar>
            <w:vAlign w:val="center"/>
          </w:tcPr>
          <w:p>
            <w:pPr>
              <w:spacing w:after="0" w:line="252" w:lineRule="auto"/>
            </w:pPr>
            <w:r>
              <w:rPr>
                <w:rFonts w:ascii="Aptos" w:hAnsi="Aptos"/>
                <w:b w:val="0"/>
                <w:i w:val="0"/>
                <w:color w:val="24323D"/>
                <w:sz w:val="18"/>
              </w:rPr>
              <w:t>Giving Your Future Self a Gift</w:t>
            </w:r>
          </w:p>
        </w:tc>
      </w:tr>
      <w:tr>
        <w:tc>
          <w:tcPr>
            <w:tcW w:type="dxa" w:w="1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9</w:t>
            </w:r>
          </w:p>
        </w:tc>
        <w:tc>
          <w:tcPr>
            <w:tcW w:type="dxa" w:w="8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Helping Your Money Grow</w:t>
            </w:r>
          </w:p>
        </w:tc>
      </w:tr>
      <w:tr>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8"/>
              </w:rPr>
              <w:t>10</w:t>
            </w:r>
          </w:p>
        </w:tc>
        <w:tc>
          <w:tcPr>
            <w:tcW w:type="dxa" w:w="8160"/>
            <w:tcMar>
              <w:top w:w="90" w:type="dxa"/>
              <w:start w:w="120" w:type="dxa"/>
              <w:bottom w:w="90" w:type="dxa"/>
              <w:end w:w="120" w:type="dxa"/>
            </w:tcMar>
            <w:vAlign w:val="center"/>
          </w:tcPr>
          <w:p>
            <w:pPr>
              <w:spacing w:after="0" w:line="252" w:lineRule="auto"/>
            </w:pPr>
            <w:r>
              <w:rPr>
                <w:rFonts w:ascii="Aptos" w:hAnsi="Aptos"/>
                <w:b w:val="0"/>
                <w:i w:val="0"/>
                <w:color w:val="24323D"/>
                <w:sz w:val="18"/>
              </w:rPr>
              <w:t>Not Every Rupee Has the Same Job</w:t>
            </w:r>
          </w:p>
        </w:tc>
      </w:tr>
    </w:tbl>
    <w:p>
      <w:pPr>
        <w:spacing w:after="20"/>
      </w:pPr>
    </w:p>
    <w:p>
      <w:pPr>
        <w:pStyle w:val="Heading1"/>
      </w:pPr>
      <w:r>
        <w:t>PART III — Making Confident Financial Choices</w:t>
      </w:r>
    </w:p>
    <w:tbl>
      <w:tblPr>
        <w:tblStyle w:val="TableGrid"/>
        <w:tblW w:type="dxa" w:w="9360"/>
        <w:jc w:val="center"/>
        <w:tblLayout w:type="fixed"/>
        <w:tblLook w:firstColumn="1" w:firstRow="1" w:lastColumn="0" w:lastRow="0" w:noHBand="0" w:noVBand="1" w:val="04A0"/>
        <w:tblInd w:w="120" w:type="dxa"/>
      </w:tblPr>
      <w:tblGrid>
        <w:gridCol w:w="1200"/>
        <w:gridCol w:w="8160"/>
      </w:tblGrid>
      <w:tr>
        <w:trPr>
          <w:tblHeader w:val="true"/>
        </w:trPr>
        <w:tc>
          <w:tcPr>
            <w:tcW w:type="dxa" w:w="1200"/>
            <w:tcMar>
              <w:top w:w="90" w:type="dxa"/>
              <w:start w:w="120" w:type="dxa"/>
              <w:bottom w:w="90" w:type="dxa"/>
              <w:end w:w="120" w:type="dxa"/>
            </w:tcMar>
            <w:shd w:fill="24445C"/>
            <w:vAlign w:val="center"/>
          </w:tcPr>
          <w:p>
            <w:pPr>
              <w:spacing w:after="0"/>
            </w:pPr>
            <w:r>
              <w:rPr>
                <w:rFonts w:ascii="Aptos" w:hAnsi="Aptos"/>
                <w:b/>
                <w:i w:val="0"/>
                <w:color w:val="FFFFFF"/>
                <w:sz w:val="18"/>
              </w:rPr>
              <w:t>Chapter</w:t>
            </w:r>
          </w:p>
        </w:tc>
        <w:tc>
          <w:tcPr>
            <w:tcW w:type="dxa" w:w="8160"/>
            <w:tcMar>
              <w:top w:w="90" w:type="dxa"/>
              <w:start w:w="120" w:type="dxa"/>
              <w:bottom w:w="90" w:type="dxa"/>
              <w:end w:w="120" w:type="dxa"/>
            </w:tcMar>
            <w:shd w:fill="24445C"/>
            <w:vAlign w:val="center"/>
          </w:tcPr>
          <w:p>
            <w:pPr>
              <w:spacing w:after="0"/>
            </w:pPr>
            <w:r>
              <w:rPr>
                <w:rFonts w:ascii="Aptos" w:hAnsi="Aptos"/>
                <w:b/>
                <w:i w:val="0"/>
                <w:color w:val="FFFFFF"/>
                <w:sz w:val="18"/>
              </w:rPr>
              <w:t>Title</w:t>
            </w:r>
          </w:p>
        </w:tc>
      </w:tr>
      <w:tr>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8"/>
              </w:rPr>
              <w:t>11</w:t>
            </w:r>
          </w:p>
        </w:tc>
        <w:tc>
          <w:tcPr>
            <w:tcW w:type="dxa" w:w="8160"/>
            <w:tcMar>
              <w:top w:w="90" w:type="dxa"/>
              <w:start w:w="120" w:type="dxa"/>
              <w:bottom w:w="90" w:type="dxa"/>
              <w:end w:w="120" w:type="dxa"/>
            </w:tcMar>
            <w:vAlign w:val="center"/>
          </w:tcPr>
          <w:p>
            <w:pPr>
              <w:spacing w:after="0" w:line="252" w:lineRule="auto"/>
            </w:pPr>
            <w:r>
              <w:rPr>
                <w:rFonts w:ascii="Aptos" w:hAnsi="Aptos"/>
                <w:b w:val="0"/>
                <w:i w:val="0"/>
                <w:color w:val="24323D"/>
                <w:sz w:val="18"/>
              </w:rPr>
              <w:t>Choosing the Right Home for Your Money</w:t>
            </w:r>
          </w:p>
        </w:tc>
      </w:tr>
      <w:tr>
        <w:tc>
          <w:tcPr>
            <w:tcW w:type="dxa" w:w="1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12</w:t>
            </w:r>
          </w:p>
        </w:tc>
        <w:tc>
          <w:tcPr>
            <w:tcW w:type="dxa" w:w="8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Mutual Funds Made Simple</w:t>
            </w:r>
          </w:p>
        </w:tc>
      </w:tr>
      <w:tr>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8"/>
              </w:rPr>
              <w:t>13</w:t>
            </w:r>
          </w:p>
        </w:tc>
        <w:tc>
          <w:tcPr>
            <w:tcW w:type="dxa" w:w="8160"/>
            <w:tcMar>
              <w:top w:w="90" w:type="dxa"/>
              <w:start w:w="120" w:type="dxa"/>
              <w:bottom w:w="90" w:type="dxa"/>
              <w:end w:w="120" w:type="dxa"/>
            </w:tcMar>
            <w:vAlign w:val="center"/>
          </w:tcPr>
          <w:p>
            <w:pPr>
              <w:spacing w:after="0" w:line="252" w:lineRule="auto"/>
            </w:pPr>
            <w:r>
              <w:rPr>
                <w:rFonts w:ascii="Aptos" w:hAnsi="Aptos"/>
                <w:b w:val="0"/>
                <w:i w:val="0"/>
                <w:color w:val="24323D"/>
                <w:sz w:val="18"/>
              </w:rPr>
              <w:t>SIPs: Small Steps, Extraordinary Journeys</w:t>
            </w:r>
          </w:p>
        </w:tc>
      </w:tr>
      <w:tr>
        <w:tc>
          <w:tcPr>
            <w:tcW w:type="dxa" w:w="1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14</w:t>
            </w:r>
          </w:p>
        </w:tc>
        <w:tc>
          <w:tcPr>
            <w:tcW w:type="dxa" w:w="8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Protecting What You’ve Built</w:t>
            </w:r>
          </w:p>
        </w:tc>
      </w:tr>
      <w:tr>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8"/>
              </w:rPr>
              <w:t>15</w:t>
            </w:r>
          </w:p>
        </w:tc>
        <w:tc>
          <w:tcPr>
            <w:tcW w:type="dxa" w:w="8160"/>
            <w:tcMar>
              <w:top w:w="90" w:type="dxa"/>
              <w:start w:w="120" w:type="dxa"/>
              <w:bottom w:w="90" w:type="dxa"/>
              <w:end w:w="120" w:type="dxa"/>
            </w:tcMar>
            <w:vAlign w:val="center"/>
          </w:tcPr>
          <w:p>
            <w:pPr>
              <w:spacing w:after="0" w:line="252" w:lineRule="auto"/>
            </w:pPr>
            <w:r>
              <w:rPr>
                <w:rFonts w:ascii="Aptos" w:hAnsi="Aptos"/>
                <w:b w:val="0"/>
                <w:i w:val="0"/>
                <w:color w:val="24323D"/>
                <w:sz w:val="18"/>
              </w:rPr>
              <w:t>Creating Your Family Financial Plan</w:t>
            </w:r>
          </w:p>
        </w:tc>
      </w:tr>
    </w:tbl>
    <w:p>
      <w:pPr>
        <w:spacing w:after="20"/>
      </w:pPr>
    </w:p>
    <w:p>
      <w:pPr>
        <w:pStyle w:val="Heading1"/>
      </w:pPr>
      <w:r>
        <w:t>PART IV — Your Financial Handbook</w:t>
      </w:r>
    </w:p>
    <w:tbl>
      <w:tblPr>
        <w:tblStyle w:val="TableGrid"/>
        <w:tblW w:type="dxa" w:w="9360"/>
        <w:jc w:val="center"/>
        <w:tblLayout w:type="fixed"/>
        <w:tblLook w:firstColumn="1" w:firstRow="1" w:lastColumn="0" w:lastRow="0" w:noHBand="0" w:noVBand="1" w:val="04A0"/>
        <w:tblInd w:w="120" w:type="dxa"/>
      </w:tblPr>
      <w:tblGrid>
        <w:gridCol w:w="1200"/>
        <w:gridCol w:w="8160"/>
      </w:tblGrid>
      <w:tr>
        <w:trPr>
          <w:tblHeader w:val="true"/>
        </w:trPr>
        <w:tc>
          <w:tcPr>
            <w:tcW w:type="dxa" w:w="1200"/>
            <w:tcMar>
              <w:top w:w="90" w:type="dxa"/>
              <w:start w:w="120" w:type="dxa"/>
              <w:bottom w:w="90" w:type="dxa"/>
              <w:end w:w="120" w:type="dxa"/>
            </w:tcMar>
            <w:shd w:fill="24445C"/>
            <w:vAlign w:val="center"/>
          </w:tcPr>
          <w:p>
            <w:pPr>
              <w:spacing w:after="0"/>
            </w:pPr>
            <w:r>
              <w:rPr>
                <w:rFonts w:ascii="Aptos" w:hAnsi="Aptos"/>
                <w:b/>
                <w:i w:val="0"/>
                <w:color w:val="FFFFFF"/>
                <w:sz w:val="18"/>
              </w:rPr>
              <w:t>Chapter</w:t>
            </w:r>
          </w:p>
        </w:tc>
        <w:tc>
          <w:tcPr>
            <w:tcW w:type="dxa" w:w="8160"/>
            <w:tcMar>
              <w:top w:w="90" w:type="dxa"/>
              <w:start w:w="120" w:type="dxa"/>
              <w:bottom w:w="90" w:type="dxa"/>
              <w:end w:w="120" w:type="dxa"/>
            </w:tcMar>
            <w:shd w:fill="24445C"/>
            <w:vAlign w:val="center"/>
          </w:tcPr>
          <w:p>
            <w:pPr>
              <w:spacing w:after="0"/>
            </w:pPr>
            <w:r>
              <w:rPr>
                <w:rFonts w:ascii="Aptos" w:hAnsi="Aptos"/>
                <w:b/>
                <w:i w:val="0"/>
                <w:color w:val="FFFFFF"/>
                <w:sz w:val="18"/>
              </w:rPr>
              <w:t>Title</w:t>
            </w:r>
          </w:p>
        </w:tc>
      </w:tr>
      <w:tr>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8"/>
              </w:rPr>
              <w:t>16</w:t>
            </w:r>
          </w:p>
        </w:tc>
        <w:tc>
          <w:tcPr>
            <w:tcW w:type="dxa" w:w="8160"/>
            <w:tcMar>
              <w:top w:w="90" w:type="dxa"/>
              <w:start w:w="120" w:type="dxa"/>
              <w:bottom w:w="90" w:type="dxa"/>
              <w:end w:w="120" w:type="dxa"/>
            </w:tcMar>
            <w:vAlign w:val="center"/>
          </w:tcPr>
          <w:p>
            <w:pPr>
              <w:spacing w:after="0" w:line="252" w:lineRule="auto"/>
            </w:pPr>
            <w:r>
              <w:rPr>
                <w:rFonts w:ascii="Aptos" w:hAnsi="Aptos"/>
                <w:b w:val="0"/>
                <w:i w:val="0"/>
                <w:color w:val="24323D"/>
                <w:sz w:val="18"/>
              </w:rPr>
              <w:t>Understanding Financial Products</w:t>
            </w:r>
          </w:p>
        </w:tc>
      </w:tr>
      <w:tr>
        <w:tc>
          <w:tcPr>
            <w:tcW w:type="dxa" w:w="1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17</w:t>
            </w:r>
          </w:p>
        </w:tc>
        <w:tc>
          <w:tcPr>
            <w:tcW w:type="dxa" w:w="8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Government Schemes Every Indian Mother Should Know</w:t>
            </w:r>
          </w:p>
        </w:tc>
      </w:tr>
      <w:tr>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8"/>
              </w:rPr>
              <w:t>18</w:t>
            </w:r>
          </w:p>
        </w:tc>
        <w:tc>
          <w:tcPr>
            <w:tcW w:type="dxa" w:w="8160"/>
            <w:tcMar>
              <w:top w:w="90" w:type="dxa"/>
              <w:start w:w="120" w:type="dxa"/>
              <w:bottom w:w="90" w:type="dxa"/>
              <w:end w:w="120" w:type="dxa"/>
            </w:tcMar>
            <w:vAlign w:val="center"/>
          </w:tcPr>
          <w:p>
            <w:pPr>
              <w:spacing w:after="0" w:line="252" w:lineRule="auto"/>
            </w:pPr>
            <w:r>
              <w:rPr>
                <w:rFonts w:ascii="Aptos" w:hAnsi="Aptos"/>
                <w:b w:val="0"/>
                <w:i w:val="0"/>
                <w:color w:val="24323D"/>
                <w:sz w:val="18"/>
              </w:rPr>
              <w:t>Taxes Made Simple</w:t>
            </w:r>
          </w:p>
        </w:tc>
      </w:tr>
      <w:tr>
        <w:tc>
          <w:tcPr>
            <w:tcW w:type="dxa" w:w="1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19</w:t>
            </w:r>
          </w:p>
        </w:tc>
        <w:tc>
          <w:tcPr>
            <w:tcW w:type="dxa" w:w="8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Staying Safe from Frauds and Scams</w:t>
            </w:r>
          </w:p>
        </w:tc>
      </w:tr>
      <w:tr>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8"/>
              </w:rPr>
              <w:t>20</w:t>
            </w:r>
          </w:p>
        </w:tc>
        <w:tc>
          <w:tcPr>
            <w:tcW w:type="dxa" w:w="8160"/>
            <w:tcMar>
              <w:top w:w="90" w:type="dxa"/>
              <w:start w:w="120" w:type="dxa"/>
              <w:bottom w:w="90" w:type="dxa"/>
              <w:end w:w="120" w:type="dxa"/>
            </w:tcMar>
            <w:vAlign w:val="center"/>
          </w:tcPr>
          <w:p>
            <w:pPr>
              <w:spacing w:after="0" w:line="252" w:lineRule="auto"/>
            </w:pPr>
            <w:r>
              <w:rPr>
                <w:rFonts w:ascii="Aptos" w:hAnsi="Aptos"/>
                <w:b w:val="0"/>
                <w:i w:val="0"/>
                <w:color w:val="24323D"/>
                <w:sz w:val="18"/>
              </w:rPr>
              <w:t>Financial Terms Made Simple</w:t>
            </w:r>
          </w:p>
        </w:tc>
      </w:tr>
      <w:tr>
        <w:tc>
          <w:tcPr>
            <w:tcW w:type="dxa" w:w="1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21</w:t>
            </w:r>
          </w:p>
        </w:tc>
        <w:tc>
          <w:tcPr>
            <w:tcW w:type="dxa" w:w="8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Your Annual Financial Planner</w:t>
            </w:r>
          </w:p>
        </w:tc>
      </w:tr>
      <w:tr>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8"/>
              </w:rPr>
              <w:t>22</w:t>
            </w:r>
          </w:p>
        </w:tc>
        <w:tc>
          <w:tcPr>
            <w:tcW w:type="dxa" w:w="8160"/>
            <w:tcMar>
              <w:top w:w="90" w:type="dxa"/>
              <w:start w:w="120" w:type="dxa"/>
              <w:bottom w:w="90" w:type="dxa"/>
              <w:end w:w="120" w:type="dxa"/>
            </w:tcMar>
            <w:vAlign w:val="center"/>
          </w:tcPr>
          <w:p>
            <w:pPr>
              <w:spacing w:after="0" w:line="252" w:lineRule="auto"/>
            </w:pPr>
            <w:r>
              <w:rPr>
                <w:rFonts w:ascii="Aptos" w:hAnsi="Aptos"/>
                <w:b w:val="0"/>
                <w:i w:val="0"/>
                <w:color w:val="24323D"/>
                <w:sz w:val="18"/>
              </w:rPr>
              <w:t>Trusted Resources for Further Learning</w:t>
            </w:r>
          </w:p>
        </w:tc>
      </w:tr>
      <w:tr>
        <w:tc>
          <w:tcPr>
            <w:tcW w:type="dxa" w:w="1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23</w:t>
            </w:r>
          </w:p>
        </w:tc>
        <w:tc>
          <w:tcPr>
            <w:tcW w:type="dxa" w:w="8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Questions Mothers Often Ask</w:t>
            </w:r>
          </w:p>
        </w:tc>
      </w:tr>
      <w:tr>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8"/>
              </w:rPr>
              <w:t>24</w:t>
            </w:r>
          </w:p>
        </w:tc>
        <w:tc>
          <w:tcPr>
            <w:tcW w:type="dxa" w:w="8160"/>
            <w:tcMar>
              <w:top w:w="90" w:type="dxa"/>
              <w:start w:w="120" w:type="dxa"/>
              <w:bottom w:w="90" w:type="dxa"/>
              <w:end w:w="120" w:type="dxa"/>
            </w:tcMar>
            <w:vAlign w:val="center"/>
          </w:tcPr>
          <w:p>
            <w:pPr>
              <w:spacing w:after="0" w:line="252" w:lineRule="auto"/>
            </w:pPr>
            <w:r>
              <w:rPr>
                <w:rFonts w:ascii="Aptos" w:hAnsi="Aptos"/>
                <w:b w:val="0"/>
                <w:i w:val="0"/>
                <w:color w:val="24323D"/>
                <w:sz w:val="18"/>
              </w:rPr>
              <w:t>Your Financial Journey Begins</w:t>
            </w:r>
          </w:p>
        </w:tc>
      </w:tr>
    </w:tbl>
    <w:p>
      <w:pPr>
        <w:spacing w:after="20"/>
      </w:pPr>
    </w:p>
    <w:p>
      <w:r>
        <w:br w:type="page"/>
      </w:r>
    </w:p>
    <w:p>
      <w:pPr>
        <w:pStyle w:val="MVKicker"/>
        <w:widowControl/>
      </w:pPr>
      <w:r>
        <w:rPr>
          <w:rFonts w:ascii="Aptos" w:hAnsi="Aptos"/>
          <w:b w:val="0"/>
          <w:i w:val="0"/>
          <w:color w:val="24323D"/>
          <w:sz w:val="21"/>
        </w:rPr>
        <w:t>CHAPTER 1</w:t>
      </w:r>
    </w:p>
    <w:p>
      <w:pPr>
        <w:pStyle w:val="Title"/>
      </w:pPr>
      <w:r>
        <w:t>You Haven’t Lost Yourself</w:t>
      </w:r>
    </w:p>
    <w:p>
      <w:pPr>
        <w:pStyle w:val="MVQuote"/>
        <w:widowControl/>
      </w:pPr>
      <w:r>
        <w:rPr>
          <w:rFonts w:ascii="Aptos" w:hAnsi="Aptos"/>
          <w:b w:val="0"/>
          <w:i/>
          <w:color w:val="24323D"/>
          <w:sz w:val="21"/>
        </w:rPr>
        <w:t>“Motherhood changes your routine. It does not reduce your potential.”</w:t>
      </w:r>
    </w:p>
    <w:p>
      <w:pPr>
        <w:widowControl/>
      </w:pPr>
      <w:r>
        <w:rPr>
          <w:rFonts w:ascii="Aptos" w:hAnsi="Aptos"/>
          <w:b w:val="0"/>
          <w:i w:val="0"/>
          <w:color w:val="24323D"/>
          <w:sz w:val="21"/>
        </w:rPr>
        <w:t>If someone asked you to introduce yourself today, would the words “I used to…” appear somewhere in the answer? I used to work. I used to study. I used to feel confident.</w:t>
      </w:r>
    </w:p>
    <w:p>
      <w:pPr>
        <w:widowControl/>
      </w:pPr>
      <w:r>
        <w:rPr>
          <w:rFonts w:ascii="Aptos" w:hAnsi="Aptos"/>
          <w:b w:val="0"/>
          <w:i w:val="0"/>
          <w:color w:val="24323D"/>
          <w:sz w:val="21"/>
        </w:rPr>
        <w:t>Motherhood can make a life beautifully full while quietly moving parts of your identity to the edge. Careers pause, plans change and paid achievements become less visible. That does not mean your contribution or ability disappeared.</w:t>
      </w:r>
    </w:p>
    <w:p>
      <w:pPr>
        <w:pStyle w:val="Heading1"/>
      </w:pPr>
      <w:r>
        <w:t>The skills you are using now</w:t>
      </w:r>
    </w:p>
    <w:tbl>
      <w:tblPr>
        <w:tblStyle w:val="TableGrid"/>
        <w:tblW w:type="dxa" w:w="9360"/>
        <w:jc w:val="center"/>
        <w:tblLayout w:type="fixed"/>
        <w:tblLook w:firstColumn="1" w:firstRow="1" w:lastColumn="0" w:lastRow="0" w:noHBand="0" w:noVBand="1" w:val="04A0"/>
        <w:tblInd w:w="120" w:type="dxa"/>
      </w:tblPr>
      <w:tblGrid>
        <w:gridCol w:w="3900"/>
        <w:gridCol w:w="5460"/>
      </w:tblGrid>
      <w:tr>
        <w:trPr>
          <w:tblHeader w:val="true"/>
        </w:trPr>
        <w:tc>
          <w:tcPr>
            <w:tcW w:type="dxa" w:w="3900"/>
            <w:tcMar>
              <w:top w:w="90" w:type="dxa"/>
              <w:start w:w="120" w:type="dxa"/>
              <w:bottom w:w="90" w:type="dxa"/>
              <w:end w:w="120" w:type="dxa"/>
            </w:tcMar>
            <w:shd w:fill="24445C"/>
            <w:vAlign w:val="center"/>
          </w:tcPr>
          <w:p>
            <w:pPr>
              <w:spacing w:after="0"/>
            </w:pPr>
            <w:r>
              <w:rPr>
                <w:rFonts w:ascii="Aptos" w:hAnsi="Aptos"/>
                <w:b/>
                <w:i w:val="0"/>
                <w:color w:val="FFFFFF"/>
                <w:sz w:val="18"/>
              </w:rPr>
              <w:t>What motherhood asks of you</w:t>
            </w:r>
          </w:p>
        </w:tc>
        <w:tc>
          <w:tcPr>
            <w:tcW w:type="dxa" w:w="5460"/>
            <w:tcMar>
              <w:top w:w="90" w:type="dxa"/>
              <w:start w:w="120" w:type="dxa"/>
              <w:bottom w:w="90" w:type="dxa"/>
              <w:end w:w="120" w:type="dxa"/>
            </w:tcMar>
            <w:shd w:fill="24445C"/>
            <w:vAlign w:val="center"/>
          </w:tcPr>
          <w:p>
            <w:pPr>
              <w:spacing w:after="0"/>
            </w:pPr>
            <w:r>
              <w:rPr>
                <w:rFonts w:ascii="Aptos" w:hAnsi="Aptos"/>
                <w:b/>
                <w:i w:val="0"/>
                <w:color w:val="FFFFFF"/>
                <w:sz w:val="18"/>
              </w:rPr>
              <w:t>The underlying skill</w:t>
            </w:r>
          </w:p>
        </w:tc>
      </w:tr>
      <w:tr>
        <w:tc>
          <w:tcPr>
            <w:tcW w:type="dxa" w:w="3900"/>
            <w:tcMar>
              <w:top w:w="90" w:type="dxa"/>
              <w:start w:w="120" w:type="dxa"/>
              <w:bottom w:w="90" w:type="dxa"/>
              <w:end w:w="120" w:type="dxa"/>
            </w:tcMar>
            <w:vAlign w:val="center"/>
          </w:tcPr>
          <w:p>
            <w:pPr>
              <w:spacing w:after="0" w:line="252" w:lineRule="auto"/>
            </w:pPr>
            <w:r>
              <w:rPr>
                <w:rFonts w:ascii="Aptos" w:hAnsi="Aptos"/>
                <w:b w:val="0"/>
                <w:i w:val="0"/>
                <w:color w:val="24323D"/>
                <w:sz w:val="18"/>
              </w:rPr>
              <w:t>Planning meals, appointments and school routines</w:t>
            </w:r>
          </w:p>
        </w:tc>
        <w:tc>
          <w:tcPr>
            <w:tcW w:type="dxa" w:w="5460"/>
            <w:tcMar>
              <w:top w:w="90" w:type="dxa"/>
              <w:start w:w="120" w:type="dxa"/>
              <w:bottom w:w="90" w:type="dxa"/>
              <w:end w:w="120" w:type="dxa"/>
            </w:tcMar>
            <w:vAlign w:val="center"/>
          </w:tcPr>
          <w:p>
            <w:pPr>
              <w:spacing w:after="0" w:line="252" w:lineRule="auto"/>
            </w:pPr>
            <w:r>
              <w:rPr>
                <w:rFonts w:ascii="Aptos" w:hAnsi="Aptos"/>
                <w:b w:val="0"/>
                <w:i w:val="0"/>
                <w:color w:val="24323D"/>
                <w:sz w:val="18"/>
              </w:rPr>
              <w:t>Planning and prioritisation</w:t>
            </w:r>
          </w:p>
        </w:tc>
      </w:tr>
      <w:tr>
        <w:tc>
          <w:tcPr>
            <w:tcW w:type="dxa" w:w="3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Managing several needs at once</w:t>
            </w:r>
          </w:p>
        </w:tc>
        <w:tc>
          <w:tcPr>
            <w:tcW w:type="dxa" w:w="5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Coordination and judgement</w:t>
            </w:r>
          </w:p>
        </w:tc>
      </w:tr>
      <w:tr>
        <w:tc>
          <w:tcPr>
            <w:tcW w:type="dxa" w:w="3900"/>
            <w:tcMar>
              <w:top w:w="90" w:type="dxa"/>
              <w:start w:w="120" w:type="dxa"/>
              <w:bottom w:w="90" w:type="dxa"/>
              <w:end w:w="120" w:type="dxa"/>
            </w:tcMar>
            <w:vAlign w:val="center"/>
          </w:tcPr>
          <w:p>
            <w:pPr>
              <w:spacing w:after="0" w:line="252" w:lineRule="auto"/>
            </w:pPr>
            <w:r>
              <w:rPr>
                <w:rFonts w:ascii="Aptos" w:hAnsi="Aptos"/>
                <w:b w:val="0"/>
                <w:i w:val="0"/>
                <w:color w:val="24323D"/>
                <w:sz w:val="18"/>
              </w:rPr>
              <w:t>Comparing doctors, schools or products</w:t>
            </w:r>
          </w:p>
        </w:tc>
        <w:tc>
          <w:tcPr>
            <w:tcW w:type="dxa" w:w="5460"/>
            <w:tcMar>
              <w:top w:w="90" w:type="dxa"/>
              <w:start w:w="120" w:type="dxa"/>
              <w:bottom w:w="90" w:type="dxa"/>
              <w:end w:w="120" w:type="dxa"/>
            </w:tcMar>
            <w:vAlign w:val="center"/>
          </w:tcPr>
          <w:p>
            <w:pPr>
              <w:spacing w:after="0" w:line="252" w:lineRule="auto"/>
            </w:pPr>
            <w:r>
              <w:rPr>
                <w:rFonts w:ascii="Aptos" w:hAnsi="Aptos"/>
                <w:b w:val="0"/>
                <w:i w:val="0"/>
                <w:color w:val="24323D"/>
                <w:sz w:val="18"/>
              </w:rPr>
              <w:t>Research and evaluation</w:t>
            </w:r>
          </w:p>
        </w:tc>
      </w:tr>
      <w:tr>
        <w:tc>
          <w:tcPr>
            <w:tcW w:type="dxa" w:w="3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Handling difficult days</w:t>
            </w:r>
          </w:p>
        </w:tc>
        <w:tc>
          <w:tcPr>
            <w:tcW w:type="dxa" w:w="5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Adaptability and emotional regulation</w:t>
            </w:r>
          </w:p>
        </w:tc>
      </w:tr>
      <w:tr>
        <w:tc>
          <w:tcPr>
            <w:tcW w:type="dxa" w:w="3900"/>
            <w:tcMar>
              <w:top w:w="90" w:type="dxa"/>
              <w:start w:w="120" w:type="dxa"/>
              <w:bottom w:w="90" w:type="dxa"/>
              <w:end w:w="120" w:type="dxa"/>
            </w:tcMar>
            <w:vAlign w:val="center"/>
          </w:tcPr>
          <w:p>
            <w:pPr>
              <w:spacing w:after="0" w:line="252" w:lineRule="auto"/>
            </w:pPr>
            <w:r>
              <w:rPr>
                <w:rFonts w:ascii="Aptos" w:hAnsi="Aptos"/>
                <w:b w:val="0"/>
                <w:i w:val="0"/>
                <w:color w:val="24323D"/>
                <w:sz w:val="18"/>
              </w:rPr>
              <w:t>Running the household</w:t>
            </w:r>
          </w:p>
        </w:tc>
        <w:tc>
          <w:tcPr>
            <w:tcW w:type="dxa" w:w="5460"/>
            <w:tcMar>
              <w:top w:w="90" w:type="dxa"/>
              <w:start w:w="120" w:type="dxa"/>
              <w:bottom w:w="90" w:type="dxa"/>
              <w:end w:w="120" w:type="dxa"/>
            </w:tcMar>
            <w:vAlign w:val="center"/>
          </w:tcPr>
          <w:p>
            <w:pPr>
              <w:spacing w:after="0" w:line="252" w:lineRule="auto"/>
            </w:pPr>
            <w:r>
              <w:rPr>
                <w:rFonts w:ascii="Aptos" w:hAnsi="Aptos"/>
                <w:b w:val="0"/>
                <w:i w:val="0"/>
                <w:color w:val="24323D"/>
                <w:sz w:val="18"/>
              </w:rPr>
              <w:t>Operations, budgeting and decision-making</w:t>
            </w:r>
          </w:p>
        </w:tc>
      </w:tr>
    </w:tbl>
    <w:p>
      <w:pPr>
        <w:spacing w:after="20"/>
      </w:pPr>
    </w:p>
    <w:p>
      <w:pPr>
        <w:widowControl/>
      </w:pPr>
      <w:r>
        <w:rPr>
          <w:rFonts w:ascii="Aptos" w:hAnsi="Aptos"/>
          <w:b w:val="0"/>
          <w:i w:val="0"/>
          <w:color w:val="24323D"/>
          <w:sz w:val="21"/>
        </w:rPr>
        <w:t>These skills do not replace professional knowledge. They prove that you can learn and manage complex things. Financial confidence begins when you stop treating yourself as a beginner with nothing to offer.</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YOUR CHOICE MATTERS</w:t>
            </w:r>
          </w:p>
          <w:p>
            <w:pPr>
              <w:spacing w:after="0"/>
            </w:pPr>
            <w:r>
              <w:rPr>
                <w:rFonts w:ascii="Aptos" w:hAnsi="Aptos"/>
                <w:b w:val="0"/>
                <w:i w:val="0"/>
                <w:color w:val="24323D"/>
                <w:sz w:val="20"/>
              </w:rPr>
              <w:t>This book will not push you toward paid work or away from home. It will help make sure that whichever path you choose is supported by knowledge rather than fear.</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A career break is not an ability break. You are beginning with experience, resilience and the capacity to learn.</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Write three strengths motherhood has added to your life and one skill you would enjoy learning next.</w:t>
            </w:r>
          </w:p>
        </w:tc>
      </w:tr>
    </w:tbl>
    <w:p>
      <w:pPr>
        <w:spacing w:after="20"/>
      </w:pPr>
    </w:p>
    <w:p>
      <w:r>
        <w:br w:type="page"/>
      </w:r>
    </w:p>
    <w:p>
      <w:pPr>
        <w:pStyle w:val="MVKicker"/>
        <w:widowControl/>
      </w:pPr>
      <w:r>
        <w:rPr>
          <w:rFonts w:ascii="Aptos" w:hAnsi="Aptos"/>
          <w:b w:val="0"/>
          <w:i w:val="0"/>
          <w:color w:val="24323D"/>
          <w:sz w:val="21"/>
        </w:rPr>
        <w:t>CHAPTER 2</w:t>
      </w:r>
    </w:p>
    <w:p>
      <w:pPr>
        <w:pStyle w:val="Title"/>
      </w:pPr>
      <w:r>
        <w:t>What Financial Confidence Really Means</w:t>
      </w:r>
    </w:p>
    <w:p>
      <w:pPr>
        <w:pStyle w:val="MVQuote"/>
        <w:widowControl/>
      </w:pPr>
      <w:r>
        <w:rPr>
          <w:rFonts w:ascii="Aptos" w:hAnsi="Aptos"/>
          <w:b w:val="0"/>
          <w:i/>
          <w:color w:val="24323D"/>
          <w:sz w:val="21"/>
        </w:rPr>
        <w:t>“Security is not only a number. It is the ability to understand, prepare and choose.”</w:t>
      </w:r>
    </w:p>
    <w:p>
      <w:pPr>
        <w:widowControl/>
      </w:pPr>
      <w:r>
        <w:rPr>
          <w:rFonts w:ascii="Aptos" w:hAnsi="Aptos"/>
          <w:b w:val="0"/>
          <w:i w:val="0"/>
          <w:color w:val="24323D"/>
          <w:sz w:val="21"/>
        </w:rPr>
        <w:t>Ask ten mothers what financial security means and you may hear ten answers: paid bills, an emergency fund, no debt, enough insurance, a return-to-work plan or simply knowing where the important documents are.</w:t>
      </w:r>
    </w:p>
    <w:p>
      <w:pPr>
        <w:widowControl/>
      </w:pPr>
      <w:r>
        <w:rPr>
          <w:rFonts w:ascii="Aptos" w:hAnsi="Aptos"/>
          <w:b w:val="0"/>
          <w:i w:val="0"/>
          <w:color w:val="24323D"/>
          <w:sz w:val="21"/>
        </w:rPr>
        <w:t>Financial confidence has four practical parts: visibility, protection, participation and options.</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1800"/>
            <w:tcMar>
              <w:top w:w="90" w:type="dxa"/>
              <w:start w:w="120" w:type="dxa"/>
              <w:bottom w:w="90" w:type="dxa"/>
              <w:end w:w="120" w:type="dxa"/>
            </w:tcMar>
            <w:shd w:fill="24445C"/>
            <w:vAlign w:val="center"/>
          </w:tcPr>
          <w:p>
            <w:pPr>
              <w:spacing w:after="0"/>
            </w:pPr>
            <w:r>
              <w:rPr>
                <w:rFonts w:ascii="Aptos" w:hAnsi="Aptos"/>
                <w:b/>
                <w:i w:val="0"/>
                <w:color w:val="FFFFFF"/>
                <w:sz w:val="18"/>
              </w:rPr>
              <w:t>Part</w:t>
            </w:r>
          </w:p>
        </w:tc>
        <w:tc>
          <w:tcPr>
            <w:tcW w:type="dxa" w:w="7560"/>
            <w:tcMar>
              <w:top w:w="90" w:type="dxa"/>
              <w:start w:w="120" w:type="dxa"/>
              <w:bottom w:w="90" w:type="dxa"/>
              <w:end w:w="120" w:type="dxa"/>
            </w:tcMar>
            <w:shd w:fill="24445C"/>
            <w:vAlign w:val="center"/>
          </w:tcPr>
          <w:p>
            <w:pPr>
              <w:spacing w:after="0"/>
            </w:pPr>
            <w:r>
              <w:rPr>
                <w:rFonts w:ascii="Aptos" w:hAnsi="Aptos"/>
                <w:b/>
                <w:i w:val="0"/>
                <w:color w:val="FFFFFF"/>
                <w:sz w:val="18"/>
              </w:rPr>
              <w:t>What it looks like</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8"/>
              </w:rPr>
              <w:t>Visibility</w:t>
            </w:r>
          </w:p>
        </w:tc>
        <w:tc>
          <w:tcPr>
            <w:tcW w:type="dxa" w:w="7560"/>
            <w:tcMar>
              <w:top w:w="90" w:type="dxa"/>
              <w:start w:w="120" w:type="dxa"/>
              <w:bottom w:w="90" w:type="dxa"/>
              <w:end w:w="120" w:type="dxa"/>
            </w:tcMar>
            <w:vAlign w:val="center"/>
          </w:tcPr>
          <w:p>
            <w:pPr>
              <w:spacing w:after="0" w:line="252" w:lineRule="auto"/>
            </w:pPr>
            <w:r>
              <w:rPr>
                <w:rFonts w:ascii="Aptos" w:hAnsi="Aptos"/>
                <w:b w:val="0"/>
                <w:i w:val="0"/>
                <w:color w:val="24323D"/>
                <w:sz w:val="18"/>
              </w:rPr>
              <w:t>You know the broad income, expenses, debts, accounts and goals.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Protection</w:t>
            </w:r>
          </w:p>
        </w:tc>
        <w:tc>
          <w:tcPr>
            <w:tcW w:type="dxa" w:w="75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The family has emergency money, suitable insurance and organised documents.</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8"/>
              </w:rPr>
              <w:t>Participation</w:t>
            </w:r>
          </w:p>
        </w:tc>
        <w:tc>
          <w:tcPr>
            <w:tcW w:type="dxa" w:w="7560"/>
            <w:tcMar>
              <w:top w:w="90" w:type="dxa"/>
              <w:start w:w="120" w:type="dxa"/>
              <w:bottom w:w="90" w:type="dxa"/>
              <w:end w:w="120" w:type="dxa"/>
            </w:tcMar>
            <w:vAlign w:val="center"/>
          </w:tcPr>
          <w:p>
            <w:pPr>
              <w:spacing w:after="0" w:line="252" w:lineRule="auto"/>
            </w:pPr>
            <w:r>
              <w:rPr>
                <w:rFonts w:ascii="Aptos" w:hAnsi="Aptos"/>
                <w:b w:val="0"/>
                <w:i w:val="0"/>
                <w:color w:val="24323D"/>
                <w:sz w:val="18"/>
              </w:rPr>
              <w:t>You can ask questions and take part in important decisions.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Options</w:t>
            </w:r>
          </w:p>
        </w:tc>
        <w:tc>
          <w:tcPr>
            <w:tcW w:type="dxa" w:w="75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You know that earning, learning and financial choices remain available if life changes.</w:t>
            </w:r>
          </w:p>
        </w:tc>
      </w:tr>
    </w:tbl>
    <w:p>
      <w:pPr>
        <w:spacing w:after="20"/>
      </w:pPr>
    </w:p>
    <w:p>
      <w:pPr>
        <w:widowControl/>
      </w:pPr>
      <w:r>
        <w:rPr>
          <w:rFonts w:ascii="Aptos" w:hAnsi="Aptos"/>
          <w:b w:val="0"/>
          <w:i w:val="0"/>
          <w:color w:val="24323D"/>
          <w:sz w:val="21"/>
        </w:rPr>
        <w:t>A large income can exist without confidence. A modest household can feel calm when money has a plan. The aim is not to control every rupee or know every product. It is to reduce avoidable uncertainty.</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Confidence is not knowing all the answers. It is knowing where the facts are and what question to ask next.</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Finish this sentence: “I would feel more financially confident if I understood…”</w:t>
            </w:r>
          </w:p>
        </w:tc>
      </w:tr>
    </w:tbl>
    <w:p>
      <w:pPr>
        <w:spacing w:after="20"/>
      </w:pPr>
    </w:p>
    <w:p>
      <w:r>
        <w:br w:type="page"/>
      </w:r>
    </w:p>
    <w:p>
      <w:pPr>
        <w:pStyle w:val="MVKicker"/>
        <w:widowControl/>
      </w:pPr>
      <w:r>
        <w:rPr>
          <w:rFonts w:ascii="Aptos" w:hAnsi="Aptos"/>
          <w:b w:val="0"/>
          <w:i w:val="0"/>
          <w:color w:val="24323D"/>
          <w:sz w:val="21"/>
        </w:rPr>
        <w:t>CHAPTER 3</w:t>
      </w:r>
    </w:p>
    <w:p>
      <w:pPr>
        <w:pStyle w:val="Title"/>
      </w:pPr>
      <w:r>
        <w:t>Money Is a Tool, Not a Test</w:t>
      </w:r>
    </w:p>
    <w:p>
      <w:pPr>
        <w:pStyle w:val="MVQuote"/>
        <w:widowControl/>
      </w:pPr>
      <w:r>
        <w:rPr>
          <w:rFonts w:ascii="Aptos" w:hAnsi="Aptos"/>
          <w:b w:val="0"/>
          <w:i/>
          <w:color w:val="24323D"/>
          <w:sz w:val="21"/>
        </w:rPr>
        <w:t>“You do not have to be naturally good with money. Money management is a learnable skill.”</w:t>
      </w:r>
    </w:p>
    <w:p>
      <w:pPr>
        <w:widowControl/>
      </w:pPr>
      <w:r>
        <w:rPr>
          <w:rFonts w:ascii="Aptos" w:hAnsi="Aptos"/>
          <w:b w:val="0"/>
          <w:i w:val="0"/>
          <w:color w:val="24323D"/>
          <w:sz w:val="21"/>
        </w:rPr>
        <w:t>People say “I am terrible with money” as if finance were a personality trait. Yet few of us were formally taught how to read a bank statement, compare insurance, understand tax or invest.</w:t>
      </w:r>
    </w:p>
    <w:p>
      <w:pPr>
        <w:widowControl/>
      </w:pPr>
      <w:r>
        <w:rPr>
          <w:rFonts w:ascii="Aptos" w:hAnsi="Aptos"/>
          <w:b w:val="0"/>
          <w:i w:val="0"/>
          <w:color w:val="24323D"/>
          <w:sz w:val="21"/>
        </w:rPr>
        <w:t>Money is a tool. It can buy food, medicine, education, convenience, time, choices and peace of mind. Its purpose is to support the life you value—not measure your worth.</w:t>
      </w:r>
    </w:p>
    <w:p>
      <w:pPr>
        <w:pStyle w:val="Heading1"/>
      </w:pPr>
      <w:r>
        <w:t>Four basic jobs</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1800"/>
            <w:tcMar>
              <w:top w:w="90" w:type="dxa"/>
              <w:start w:w="120" w:type="dxa"/>
              <w:bottom w:w="90" w:type="dxa"/>
              <w:end w:w="120" w:type="dxa"/>
            </w:tcMar>
            <w:shd w:fill="24445C"/>
            <w:vAlign w:val="center"/>
          </w:tcPr>
          <w:p>
            <w:pPr>
              <w:spacing w:after="0"/>
            </w:pPr>
            <w:r>
              <w:rPr>
                <w:rFonts w:ascii="Aptos" w:hAnsi="Aptos"/>
                <w:b/>
                <w:i w:val="0"/>
                <w:color w:val="FFFFFF"/>
                <w:sz w:val="18"/>
              </w:rPr>
              <w:t>Job</w:t>
            </w:r>
          </w:p>
        </w:tc>
        <w:tc>
          <w:tcPr>
            <w:tcW w:type="dxa" w:w="7560"/>
            <w:tcMar>
              <w:top w:w="90" w:type="dxa"/>
              <w:start w:w="120" w:type="dxa"/>
              <w:bottom w:w="90" w:type="dxa"/>
              <w:end w:w="120" w:type="dxa"/>
            </w:tcMar>
            <w:shd w:fill="24445C"/>
            <w:vAlign w:val="center"/>
          </w:tcPr>
          <w:p>
            <w:pPr>
              <w:spacing w:after="0"/>
            </w:pPr>
            <w:r>
              <w:rPr>
                <w:rFonts w:ascii="Aptos" w:hAnsi="Aptos"/>
                <w:b/>
                <w:i w:val="0"/>
                <w:color w:val="FFFFFF"/>
                <w:sz w:val="18"/>
              </w:rPr>
              <w:t>Question</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8"/>
              </w:rPr>
              <w:t>Spend</w:t>
            </w:r>
          </w:p>
        </w:tc>
        <w:tc>
          <w:tcPr>
            <w:tcW w:type="dxa" w:w="7560"/>
            <w:tcMar>
              <w:top w:w="90" w:type="dxa"/>
              <w:start w:w="120" w:type="dxa"/>
              <w:bottom w:w="90" w:type="dxa"/>
              <w:end w:w="120" w:type="dxa"/>
            </w:tcMar>
            <w:vAlign w:val="center"/>
          </w:tcPr>
          <w:p>
            <w:pPr>
              <w:spacing w:after="0" w:line="252" w:lineRule="auto"/>
            </w:pPr>
            <w:r>
              <w:rPr>
                <w:rFonts w:ascii="Aptos" w:hAnsi="Aptos"/>
                <w:b w:val="0"/>
                <w:i w:val="0"/>
                <w:color w:val="24323D"/>
                <w:sz w:val="18"/>
              </w:rPr>
              <w:t>What does our life need or value today?</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Save</w:t>
            </w:r>
          </w:p>
        </w:tc>
        <w:tc>
          <w:tcPr>
            <w:tcW w:type="dxa" w:w="75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What will we need soon or unexpectedly?</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8"/>
              </w:rPr>
              <w:t>Grow</w:t>
            </w:r>
          </w:p>
        </w:tc>
        <w:tc>
          <w:tcPr>
            <w:tcW w:type="dxa" w:w="7560"/>
            <w:tcMar>
              <w:top w:w="90" w:type="dxa"/>
              <w:start w:w="120" w:type="dxa"/>
              <w:bottom w:w="90" w:type="dxa"/>
              <w:end w:w="120" w:type="dxa"/>
            </w:tcMar>
            <w:vAlign w:val="center"/>
          </w:tcPr>
          <w:p>
            <w:pPr>
              <w:spacing w:after="0" w:line="252" w:lineRule="auto"/>
            </w:pPr>
            <w:r>
              <w:rPr>
                <w:rFonts w:ascii="Aptos" w:hAnsi="Aptos"/>
                <w:b w:val="0"/>
                <w:i w:val="0"/>
                <w:color w:val="24323D"/>
                <w:sz w:val="18"/>
              </w:rPr>
              <w:t>Which long-term goals need help from investing?</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Give</w:t>
            </w:r>
          </w:p>
        </w:tc>
        <w:tc>
          <w:tcPr>
            <w:tcW w:type="dxa" w:w="75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What people or causes do we choose to support?</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A USEFUL PAUSE</w:t>
            </w:r>
          </w:p>
          <w:p>
            <w:pPr>
              <w:spacing w:after="0"/>
            </w:pPr>
            <w:r>
              <w:rPr>
                <w:rFonts w:ascii="Aptos" w:hAnsi="Aptos"/>
                <w:b w:val="0"/>
                <w:i w:val="0"/>
                <w:color w:val="24323D"/>
                <w:sz w:val="20"/>
              </w:rPr>
              <w:t>Before a purchase or investment, ask: “What job is this money doing?” The answer is often more useful than “Is this good or bad?”</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Money is not the destination. The life and choices it supports are.</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Choose one recent expense and write what it really bought: necessity, time, convenience, joy, learning or peace of mind.</w:t>
            </w:r>
          </w:p>
        </w:tc>
      </w:tr>
    </w:tbl>
    <w:p>
      <w:pPr>
        <w:spacing w:after="20"/>
      </w:pPr>
    </w:p>
    <w:p>
      <w:r>
        <w:br w:type="page"/>
      </w:r>
    </w:p>
    <w:p>
      <w:pPr>
        <w:pStyle w:val="MVKicker"/>
        <w:widowControl/>
      </w:pPr>
      <w:r>
        <w:rPr>
          <w:rFonts w:ascii="Aptos" w:hAnsi="Aptos"/>
          <w:b w:val="0"/>
          <w:i w:val="0"/>
          <w:color w:val="24323D"/>
          <w:sz w:val="21"/>
        </w:rPr>
        <w:t>CHAPTER 4</w:t>
      </w:r>
    </w:p>
    <w:p>
      <w:pPr>
        <w:pStyle w:val="Title"/>
      </w:pPr>
      <w:r>
        <w:t>Where Does the Money Go?</w:t>
      </w:r>
    </w:p>
    <w:p>
      <w:pPr>
        <w:pStyle w:val="MVQuote"/>
        <w:widowControl/>
      </w:pPr>
      <w:r>
        <w:rPr>
          <w:rFonts w:ascii="Aptos" w:hAnsi="Aptos"/>
          <w:b w:val="0"/>
          <w:i/>
          <w:color w:val="24323D"/>
          <w:sz w:val="21"/>
        </w:rPr>
        <w:t>“Awareness is not judgement. It is the beginning of choice.”</w:t>
      </w:r>
    </w:p>
    <w:p>
      <w:pPr>
        <w:widowControl/>
      </w:pPr>
      <w:r>
        <w:rPr>
          <w:rFonts w:ascii="Aptos" w:hAnsi="Aptos"/>
          <w:b w:val="0"/>
          <w:i w:val="0"/>
          <w:color w:val="24323D"/>
          <w:sz w:val="21"/>
        </w:rPr>
        <w:t>A family can earn well and still reach the end of each month wondering where the money went. Often it is not one dramatic purchase. It is a collection of ordinary decisions, renewals, deliveries, fees and subscriptions.</w:t>
      </w:r>
    </w:p>
    <w:p>
      <w:pPr>
        <w:pStyle w:val="Heading1"/>
      </w:pPr>
      <w:r>
        <w:t>Track without blame</w:t>
      </w:r>
    </w:p>
    <w:p>
      <w:pPr>
        <w:widowControl/>
      </w:pPr>
      <w:r>
        <w:rPr>
          <w:rFonts w:ascii="Aptos" w:hAnsi="Aptos"/>
          <w:b w:val="0"/>
          <w:i w:val="0"/>
          <w:color w:val="24323D"/>
          <w:sz w:val="21"/>
        </w:rPr>
        <w:t>For one week, record every outflow. Do not change anything yet. Group it into essentials, commitments, flexible spending, goals and unnoticed leakage. A budget built on shame rarely lasts; a budget built on facts can adapt.</w:t>
      </w:r>
    </w:p>
    <w:tbl>
      <w:tblPr>
        <w:tblStyle w:val="TableGrid"/>
        <w:tblW w:type="dxa" w:w="9360"/>
        <w:jc w:val="center"/>
        <w:tblLayout w:type="fixed"/>
        <w:tblLook w:firstColumn="1" w:firstRow="1" w:lastColumn="0" w:lastRow="0" w:noHBand="0" w:noVBand="1" w:val="04A0"/>
        <w:tblInd w:w="120" w:type="dxa"/>
      </w:tblPr>
      <w:tblGrid>
        <w:gridCol w:w="1700"/>
        <w:gridCol w:w="4300"/>
        <w:gridCol w:w="3360"/>
      </w:tblGrid>
      <w:tr>
        <w:trPr>
          <w:tblHeader w:val="true"/>
        </w:trPr>
        <w:tc>
          <w:tcPr>
            <w:tcW w:type="dxa" w:w="1700"/>
            <w:tcMar>
              <w:top w:w="90" w:type="dxa"/>
              <w:start w:w="120" w:type="dxa"/>
              <w:bottom w:w="90" w:type="dxa"/>
              <w:end w:w="120" w:type="dxa"/>
            </w:tcMar>
            <w:shd w:fill="24445C"/>
            <w:vAlign w:val="center"/>
          </w:tcPr>
          <w:p>
            <w:pPr>
              <w:spacing w:after="0"/>
            </w:pPr>
            <w:r>
              <w:rPr>
                <w:rFonts w:ascii="Aptos" w:hAnsi="Aptos"/>
                <w:b/>
                <w:i w:val="0"/>
                <w:color w:val="FFFFFF"/>
                <w:sz w:val="18"/>
              </w:rPr>
              <w:t>Category</w:t>
            </w:r>
          </w:p>
        </w:tc>
        <w:tc>
          <w:tcPr>
            <w:tcW w:type="dxa" w:w="4300"/>
            <w:tcMar>
              <w:top w:w="90" w:type="dxa"/>
              <w:start w:w="120" w:type="dxa"/>
              <w:bottom w:w="90" w:type="dxa"/>
              <w:end w:w="120" w:type="dxa"/>
            </w:tcMar>
            <w:shd w:fill="24445C"/>
            <w:vAlign w:val="center"/>
          </w:tcPr>
          <w:p>
            <w:pPr>
              <w:spacing w:after="0"/>
            </w:pPr>
            <w:r>
              <w:rPr>
                <w:rFonts w:ascii="Aptos" w:hAnsi="Aptos"/>
                <w:b/>
                <w:i w:val="0"/>
                <w:color w:val="FFFFFF"/>
                <w:sz w:val="18"/>
              </w:rPr>
              <w:t>Examples</w:t>
            </w:r>
          </w:p>
        </w:tc>
        <w:tc>
          <w:tcPr>
            <w:tcW w:type="dxa" w:w="3360"/>
            <w:tcMar>
              <w:top w:w="90" w:type="dxa"/>
              <w:start w:w="120" w:type="dxa"/>
              <w:bottom w:w="90" w:type="dxa"/>
              <w:end w:w="120" w:type="dxa"/>
            </w:tcMar>
            <w:shd w:fill="24445C"/>
            <w:vAlign w:val="center"/>
          </w:tcPr>
          <w:p>
            <w:pPr>
              <w:spacing w:after="0"/>
            </w:pPr>
            <w:r>
              <w:rPr>
                <w:rFonts w:ascii="Aptos" w:hAnsi="Aptos"/>
                <w:b/>
                <w:i w:val="0"/>
                <w:color w:val="FFFFFF"/>
                <w:sz w:val="18"/>
              </w:rPr>
              <w:t>Question</w:t>
            </w:r>
          </w:p>
        </w:tc>
      </w:tr>
      <w:tr>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7"/>
              </w:rPr>
              <w:t>Essentials</w:t>
            </w:r>
          </w:p>
        </w:tc>
        <w:tc>
          <w:tcPr>
            <w:tcW w:type="dxa" w:w="4300"/>
            <w:tcMar>
              <w:top w:w="90" w:type="dxa"/>
              <w:start w:w="120" w:type="dxa"/>
              <w:bottom w:w="90" w:type="dxa"/>
              <w:end w:w="120" w:type="dxa"/>
            </w:tcMar>
            <w:vAlign w:val="center"/>
          </w:tcPr>
          <w:p>
            <w:pPr>
              <w:spacing w:after="0" w:line="252" w:lineRule="auto"/>
            </w:pPr>
            <w:r>
              <w:rPr>
                <w:rFonts w:ascii="Aptos" w:hAnsi="Aptos"/>
                <w:b w:val="0"/>
                <w:i w:val="0"/>
                <w:color w:val="24323D"/>
                <w:sz w:val="17"/>
              </w:rPr>
              <w:t>Housing, food, medicines, utilities</w:t>
            </w:r>
          </w:p>
        </w:tc>
        <w:tc>
          <w:tcPr>
            <w:tcW w:type="dxa" w:w="3360"/>
            <w:tcMar>
              <w:top w:w="90" w:type="dxa"/>
              <w:start w:w="120" w:type="dxa"/>
              <w:bottom w:w="90" w:type="dxa"/>
              <w:end w:w="120" w:type="dxa"/>
            </w:tcMar>
            <w:vAlign w:val="center"/>
          </w:tcPr>
          <w:p>
            <w:pPr>
              <w:spacing w:after="0" w:line="252" w:lineRule="auto"/>
            </w:pPr>
            <w:r>
              <w:rPr>
                <w:rFonts w:ascii="Aptos" w:hAnsi="Aptos"/>
                <w:b w:val="0"/>
                <w:i w:val="0"/>
                <w:color w:val="24323D"/>
                <w:sz w:val="17"/>
              </w:rPr>
              <w:t>What must continue?</w:t>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Commitments</w:t>
            </w:r>
          </w:p>
        </w:tc>
        <w:tc>
          <w:tcPr>
            <w:tcW w:type="dxa" w:w="43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EMIs, school fees, insurance</w:t>
            </w:r>
          </w:p>
        </w:tc>
        <w:tc>
          <w:tcPr>
            <w:tcW w:type="dxa" w:w="33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What is fixed and until when?</w:t>
            </w:r>
          </w:p>
        </w:tc>
      </w:tr>
      <w:tr>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7"/>
              </w:rPr>
              <w:t>Flexible</w:t>
            </w:r>
          </w:p>
        </w:tc>
        <w:tc>
          <w:tcPr>
            <w:tcW w:type="dxa" w:w="4300"/>
            <w:tcMar>
              <w:top w:w="90" w:type="dxa"/>
              <w:start w:w="120" w:type="dxa"/>
              <w:bottom w:w="90" w:type="dxa"/>
              <w:end w:w="120" w:type="dxa"/>
            </w:tcMar>
            <w:vAlign w:val="center"/>
          </w:tcPr>
          <w:p>
            <w:pPr>
              <w:spacing w:after="0" w:line="252" w:lineRule="auto"/>
            </w:pPr>
            <w:r>
              <w:rPr>
                <w:rFonts w:ascii="Aptos" w:hAnsi="Aptos"/>
                <w:b w:val="0"/>
                <w:i w:val="0"/>
                <w:color w:val="24323D"/>
                <w:sz w:val="17"/>
              </w:rPr>
              <w:t>Dining, shopping, entertainment</w:t>
            </w:r>
          </w:p>
        </w:tc>
        <w:tc>
          <w:tcPr>
            <w:tcW w:type="dxa" w:w="3360"/>
            <w:tcMar>
              <w:top w:w="90" w:type="dxa"/>
              <w:start w:w="120" w:type="dxa"/>
              <w:bottom w:w="90" w:type="dxa"/>
              <w:end w:w="120" w:type="dxa"/>
            </w:tcMar>
            <w:vAlign w:val="center"/>
          </w:tcPr>
          <w:p>
            <w:pPr>
              <w:spacing w:after="0" w:line="252" w:lineRule="auto"/>
            </w:pPr>
            <w:r>
              <w:rPr>
                <w:rFonts w:ascii="Aptos" w:hAnsi="Aptos"/>
                <w:b w:val="0"/>
                <w:i w:val="0"/>
                <w:color w:val="24323D"/>
                <w:sz w:val="17"/>
              </w:rPr>
              <w:t>What adds enough value?</w:t>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Goals</w:t>
            </w:r>
          </w:p>
        </w:tc>
        <w:tc>
          <w:tcPr>
            <w:tcW w:type="dxa" w:w="43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Emergency fund, education, retirement</w:t>
            </w:r>
          </w:p>
        </w:tc>
        <w:tc>
          <w:tcPr>
            <w:tcW w:type="dxa" w:w="33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Are we paying the future too?</w:t>
            </w:r>
          </w:p>
        </w:tc>
      </w:tr>
      <w:tr>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7"/>
              </w:rPr>
              <w:t>Leakage</w:t>
            </w:r>
          </w:p>
        </w:tc>
        <w:tc>
          <w:tcPr>
            <w:tcW w:type="dxa" w:w="4300"/>
            <w:tcMar>
              <w:top w:w="90" w:type="dxa"/>
              <w:start w:w="120" w:type="dxa"/>
              <w:bottom w:w="90" w:type="dxa"/>
              <w:end w:w="120" w:type="dxa"/>
            </w:tcMar>
            <w:vAlign w:val="center"/>
          </w:tcPr>
          <w:p>
            <w:pPr>
              <w:spacing w:after="0" w:line="252" w:lineRule="auto"/>
            </w:pPr>
            <w:r>
              <w:rPr>
                <w:rFonts w:ascii="Aptos" w:hAnsi="Aptos"/>
                <w:b w:val="0"/>
                <w:i w:val="0"/>
                <w:color w:val="24323D"/>
                <w:sz w:val="17"/>
              </w:rPr>
              <w:t>Unused subscriptions, repeated fees</w:t>
            </w:r>
          </w:p>
        </w:tc>
        <w:tc>
          <w:tcPr>
            <w:tcW w:type="dxa" w:w="3360"/>
            <w:tcMar>
              <w:top w:w="90" w:type="dxa"/>
              <w:start w:w="120" w:type="dxa"/>
              <w:bottom w:w="90" w:type="dxa"/>
              <w:end w:w="120" w:type="dxa"/>
            </w:tcMar>
            <w:vAlign w:val="center"/>
          </w:tcPr>
          <w:p>
            <w:pPr>
              <w:spacing w:after="0" w:line="252" w:lineRule="auto"/>
            </w:pPr>
            <w:r>
              <w:rPr>
                <w:rFonts w:ascii="Aptos" w:hAnsi="Aptos"/>
                <w:b w:val="0"/>
                <w:i w:val="0"/>
                <w:color w:val="24323D"/>
                <w:sz w:val="17"/>
              </w:rPr>
              <w:t>What can be cancelled or corrected?</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You do not need to control every rupee. You need enough visibility to direct the next one.</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Track spending for seven days using a notebook or phone note. Observe first; edit later.</w:t>
            </w:r>
          </w:p>
        </w:tc>
      </w:tr>
    </w:tbl>
    <w:p>
      <w:pPr>
        <w:spacing w:after="20"/>
      </w:pPr>
    </w:p>
    <w:p>
      <w:r>
        <w:br w:type="page"/>
      </w:r>
    </w:p>
    <w:p>
      <w:pPr>
        <w:pStyle w:val="MVKicker"/>
        <w:widowControl/>
      </w:pPr>
      <w:r>
        <w:rPr>
          <w:rFonts w:ascii="Aptos" w:hAnsi="Aptos"/>
          <w:b w:val="0"/>
          <w:i w:val="0"/>
          <w:color w:val="24323D"/>
          <w:sz w:val="21"/>
        </w:rPr>
        <w:t>CHAPTER 5</w:t>
      </w:r>
    </w:p>
    <w:p>
      <w:pPr>
        <w:pStyle w:val="Title"/>
      </w:pPr>
      <w:r>
        <w:t>Looking at Your Money Without Fear</w:t>
      </w:r>
    </w:p>
    <w:p>
      <w:pPr>
        <w:pStyle w:val="MVQuote"/>
        <w:widowControl/>
      </w:pPr>
      <w:r>
        <w:rPr>
          <w:rFonts w:ascii="Aptos" w:hAnsi="Aptos"/>
          <w:b w:val="0"/>
          <w:i/>
          <w:color w:val="24323D"/>
          <w:sz w:val="21"/>
        </w:rPr>
        <w:t>“You do not have to fix everything today. You only have to be willing to look.”</w:t>
      </w:r>
    </w:p>
    <w:p>
      <w:pPr>
        <w:widowControl/>
      </w:pPr>
      <w:r>
        <w:rPr>
          <w:rFonts w:ascii="Aptos" w:hAnsi="Aptos"/>
          <w:b w:val="0"/>
          <w:i w:val="0"/>
          <w:color w:val="24323D"/>
          <w:sz w:val="21"/>
        </w:rPr>
        <w:t>Money can become like a drawer we avoid opening because we are afraid of what we may find. Avoidance offers short relief and longer uncertainty. Looking creates facts—and facts can become a plan.</w:t>
      </w:r>
    </w:p>
    <w:p>
      <w:pPr>
        <w:pStyle w:val="Heading1"/>
      </w:pPr>
      <w:r>
        <w:t>Your first financial snapshot</w:t>
      </w:r>
    </w:p>
    <w:tbl>
      <w:tblPr>
        <w:tblStyle w:val="TableGrid"/>
        <w:tblW w:type="dxa" w:w="9360"/>
        <w:jc w:val="center"/>
        <w:tblLayout w:type="fixed"/>
        <w:tblLook w:firstColumn="1" w:firstRow="1" w:lastColumn="0" w:lastRow="0" w:noHBand="0" w:noVBand="1" w:val="04A0"/>
        <w:tblInd w:w="120" w:type="dxa"/>
      </w:tblPr>
      <w:tblGrid>
        <w:gridCol w:w="6900"/>
        <w:gridCol w:w="1230"/>
        <w:gridCol w:w="1230"/>
      </w:tblGrid>
      <w:tr>
        <w:trPr>
          <w:tblHeader w:val="true"/>
        </w:trPr>
        <w:tc>
          <w:tcPr>
            <w:tcW w:type="dxa" w:w="6900"/>
            <w:tcMar>
              <w:top w:w="90" w:type="dxa"/>
              <w:start w:w="120" w:type="dxa"/>
              <w:bottom w:w="90" w:type="dxa"/>
              <w:end w:w="120" w:type="dxa"/>
            </w:tcMar>
            <w:shd w:fill="24445C"/>
            <w:vAlign w:val="center"/>
          </w:tcPr>
          <w:p>
            <w:pPr>
              <w:spacing w:after="0"/>
            </w:pPr>
            <w:r>
              <w:rPr>
                <w:rFonts w:ascii="Aptos" w:hAnsi="Aptos"/>
                <w:b/>
                <w:i w:val="0"/>
                <w:color w:val="FFFFFF"/>
                <w:sz w:val="18"/>
              </w:rPr>
              <w:t>Question</w:t>
            </w:r>
          </w:p>
        </w:tc>
        <w:tc>
          <w:tcPr>
            <w:tcW w:type="dxa" w:w="1230"/>
            <w:tcMar>
              <w:top w:w="90" w:type="dxa"/>
              <w:start w:w="120" w:type="dxa"/>
              <w:bottom w:w="90" w:type="dxa"/>
              <w:end w:w="120" w:type="dxa"/>
            </w:tcMar>
            <w:shd w:fill="24445C"/>
            <w:vAlign w:val="center"/>
          </w:tcPr>
          <w:p>
            <w:pPr>
              <w:spacing w:after="0"/>
            </w:pPr>
            <w:r>
              <w:rPr>
                <w:rFonts w:ascii="Aptos" w:hAnsi="Aptos"/>
                <w:b/>
                <w:i w:val="0"/>
                <w:color w:val="FFFFFF"/>
                <w:sz w:val="18"/>
              </w:rPr>
              <w:t>Yes</w:t>
            </w:r>
          </w:p>
        </w:tc>
        <w:tc>
          <w:tcPr>
            <w:tcW w:type="dxa" w:w="1230"/>
            <w:tcMar>
              <w:top w:w="90" w:type="dxa"/>
              <w:start w:w="120" w:type="dxa"/>
              <w:bottom w:w="90" w:type="dxa"/>
              <w:end w:w="120" w:type="dxa"/>
            </w:tcMar>
            <w:shd w:fill="24445C"/>
            <w:vAlign w:val="center"/>
          </w:tcPr>
          <w:p>
            <w:pPr>
              <w:spacing w:after="0"/>
            </w:pPr>
            <w:r>
              <w:rPr>
                <w:rFonts w:ascii="Aptos" w:hAnsi="Aptos"/>
                <w:b/>
                <w:i w:val="0"/>
                <w:color w:val="FFFFFF"/>
                <w:sz w:val="18"/>
              </w:rPr>
              <w:t>Not sure</w:t>
            </w:r>
          </w:p>
        </w:tc>
      </w:tr>
      <w:tr>
        <w:tc>
          <w:tcPr>
            <w:tcW w:type="dxa" w:w="6900"/>
            <w:tcMar>
              <w:top w:w="90" w:type="dxa"/>
              <w:start w:w="120" w:type="dxa"/>
              <w:bottom w:w="90" w:type="dxa"/>
              <w:end w:w="120" w:type="dxa"/>
            </w:tcMar>
            <w:vAlign w:val="center"/>
          </w:tcPr>
          <w:p>
            <w:pPr>
              <w:spacing w:after="0" w:line="252" w:lineRule="auto"/>
            </w:pPr>
            <w:r>
              <w:rPr>
                <w:rFonts w:ascii="Aptos" w:hAnsi="Aptos"/>
                <w:b w:val="0"/>
                <w:i w:val="0"/>
                <w:color w:val="24323D"/>
                <w:sz w:val="18"/>
              </w:rPr>
              <w:t>Do I know the household’s approximate monthly income?</w:t>
            </w:r>
          </w:p>
        </w:tc>
        <w:tc>
          <w:tcPr>
            <w:tcW w:type="dxa" w:w="1230"/>
            <w:tcMar>
              <w:top w:w="90" w:type="dxa"/>
              <w:start w:w="120" w:type="dxa"/>
              <w:bottom w:w="90" w:type="dxa"/>
              <w:end w:w="120" w:type="dxa"/>
            </w:tcMar>
            <w:vAlign w:val="center"/>
          </w:tcPr>
          <w:p>
            <w:pPr>
              <w:spacing w:after="0" w:line="252" w:lineRule="auto"/>
            </w:pPr>
            <w:r>
              <w:rPr>
                <w:rFonts w:ascii="Aptos" w:hAnsi="Aptos"/>
                <w:b w:val="0"/>
                <w:i w:val="0"/>
                <w:color w:val="24323D"/>
                <w:sz w:val="18"/>
              </w:rPr>
              <w:t>☐</w:t>
            </w:r>
          </w:p>
        </w:tc>
        <w:tc>
          <w:tcPr>
            <w:tcW w:type="dxa" w:w="1230"/>
            <w:tcMar>
              <w:top w:w="90" w:type="dxa"/>
              <w:start w:w="120" w:type="dxa"/>
              <w:bottom w:w="90" w:type="dxa"/>
              <w:end w:w="120" w:type="dxa"/>
            </w:tcMar>
            <w:vAlign w:val="center"/>
          </w:tcPr>
          <w:p>
            <w:pPr>
              <w:spacing w:after="0" w:line="252" w:lineRule="auto"/>
            </w:pPr>
            <w:r>
              <w:rPr>
                <w:rFonts w:ascii="Aptos" w:hAnsi="Aptos"/>
                <w:b w:val="0"/>
                <w:i w:val="0"/>
                <w:color w:val="24323D"/>
                <w:sz w:val="18"/>
              </w:rPr>
              <w:t>☐</w:t>
            </w:r>
          </w:p>
        </w:tc>
      </w:tr>
      <w:tr>
        <w:tc>
          <w:tcPr>
            <w:tcW w:type="dxa" w:w="6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Do I know our essential monthly expenses?</w:t>
            </w:r>
          </w:p>
        </w:tc>
        <w:tc>
          <w:tcPr>
            <w:tcW w:type="dxa" w:w="123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w:t>
            </w:r>
          </w:p>
        </w:tc>
        <w:tc>
          <w:tcPr>
            <w:tcW w:type="dxa" w:w="123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w:t>
            </w:r>
          </w:p>
        </w:tc>
      </w:tr>
      <w:tr>
        <w:tc>
          <w:tcPr>
            <w:tcW w:type="dxa" w:w="6900"/>
            <w:tcMar>
              <w:top w:w="90" w:type="dxa"/>
              <w:start w:w="120" w:type="dxa"/>
              <w:bottom w:w="90" w:type="dxa"/>
              <w:end w:w="120" w:type="dxa"/>
            </w:tcMar>
            <w:vAlign w:val="center"/>
          </w:tcPr>
          <w:p>
            <w:pPr>
              <w:spacing w:after="0" w:line="252" w:lineRule="auto"/>
            </w:pPr>
            <w:r>
              <w:rPr>
                <w:rFonts w:ascii="Aptos" w:hAnsi="Aptos"/>
                <w:b w:val="0"/>
                <w:i w:val="0"/>
                <w:color w:val="24323D"/>
                <w:sz w:val="18"/>
              </w:rPr>
              <w:t>Do we have accessible emergency money?</w:t>
            </w:r>
          </w:p>
        </w:tc>
        <w:tc>
          <w:tcPr>
            <w:tcW w:type="dxa" w:w="1230"/>
            <w:tcMar>
              <w:top w:w="90" w:type="dxa"/>
              <w:start w:w="120" w:type="dxa"/>
              <w:bottom w:w="90" w:type="dxa"/>
              <w:end w:w="120" w:type="dxa"/>
            </w:tcMar>
            <w:vAlign w:val="center"/>
          </w:tcPr>
          <w:p>
            <w:pPr>
              <w:spacing w:after="0" w:line="252" w:lineRule="auto"/>
            </w:pPr>
            <w:r>
              <w:rPr>
                <w:rFonts w:ascii="Aptos" w:hAnsi="Aptos"/>
                <w:b w:val="0"/>
                <w:i w:val="0"/>
                <w:color w:val="24323D"/>
                <w:sz w:val="18"/>
              </w:rPr>
              <w:t>☐</w:t>
            </w:r>
          </w:p>
        </w:tc>
        <w:tc>
          <w:tcPr>
            <w:tcW w:type="dxa" w:w="1230"/>
            <w:tcMar>
              <w:top w:w="90" w:type="dxa"/>
              <w:start w:w="120" w:type="dxa"/>
              <w:bottom w:w="90" w:type="dxa"/>
              <w:end w:w="120" w:type="dxa"/>
            </w:tcMar>
            <w:vAlign w:val="center"/>
          </w:tcPr>
          <w:p>
            <w:pPr>
              <w:spacing w:after="0" w:line="252" w:lineRule="auto"/>
            </w:pPr>
            <w:r>
              <w:rPr>
                <w:rFonts w:ascii="Aptos" w:hAnsi="Aptos"/>
                <w:b w:val="0"/>
                <w:i w:val="0"/>
                <w:color w:val="24323D"/>
                <w:sz w:val="18"/>
              </w:rPr>
              <w:t>☐</w:t>
            </w:r>
          </w:p>
        </w:tc>
      </w:tr>
      <w:tr>
        <w:tc>
          <w:tcPr>
            <w:tcW w:type="dxa" w:w="6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Do I understand our main insurance policies?</w:t>
            </w:r>
          </w:p>
        </w:tc>
        <w:tc>
          <w:tcPr>
            <w:tcW w:type="dxa" w:w="123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w:t>
            </w:r>
          </w:p>
        </w:tc>
        <w:tc>
          <w:tcPr>
            <w:tcW w:type="dxa" w:w="123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w:t>
            </w:r>
          </w:p>
        </w:tc>
      </w:tr>
      <w:tr>
        <w:tc>
          <w:tcPr>
            <w:tcW w:type="dxa" w:w="6900"/>
            <w:tcMar>
              <w:top w:w="90" w:type="dxa"/>
              <w:start w:w="120" w:type="dxa"/>
              <w:bottom w:w="90" w:type="dxa"/>
              <w:end w:w="120" w:type="dxa"/>
            </w:tcMar>
            <w:vAlign w:val="center"/>
          </w:tcPr>
          <w:p>
            <w:pPr>
              <w:spacing w:after="0" w:line="252" w:lineRule="auto"/>
            </w:pPr>
            <w:r>
              <w:rPr>
                <w:rFonts w:ascii="Aptos" w:hAnsi="Aptos"/>
                <w:b w:val="0"/>
                <w:i w:val="0"/>
                <w:color w:val="24323D"/>
                <w:sz w:val="18"/>
              </w:rPr>
              <w:t>Can I locate important documents?</w:t>
            </w:r>
          </w:p>
        </w:tc>
        <w:tc>
          <w:tcPr>
            <w:tcW w:type="dxa" w:w="1230"/>
            <w:tcMar>
              <w:top w:w="90" w:type="dxa"/>
              <w:start w:w="120" w:type="dxa"/>
              <w:bottom w:w="90" w:type="dxa"/>
              <w:end w:w="120" w:type="dxa"/>
            </w:tcMar>
            <w:vAlign w:val="center"/>
          </w:tcPr>
          <w:p>
            <w:pPr>
              <w:spacing w:after="0" w:line="252" w:lineRule="auto"/>
            </w:pPr>
            <w:r>
              <w:rPr>
                <w:rFonts w:ascii="Aptos" w:hAnsi="Aptos"/>
                <w:b w:val="0"/>
                <w:i w:val="0"/>
                <w:color w:val="24323D"/>
                <w:sz w:val="18"/>
              </w:rPr>
              <w:t>☐</w:t>
            </w:r>
          </w:p>
        </w:tc>
        <w:tc>
          <w:tcPr>
            <w:tcW w:type="dxa" w:w="1230"/>
            <w:tcMar>
              <w:top w:w="90" w:type="dxa"/>
              <w:start w:w="120" w:type="dxa"/>
              <w:bottom w:w="90" w:type="dxa"/>
              <w:end w:w="120" w:type="dxa"/>
            </w:tcMar>
            <w:vAlign w:val="center"/>
          </w:tcPr>
          <w:p>
            <w:pPr>
              <w:spacing w:after="0" w:line="252" w:lineRule="auto"/>
            </w:pPr>
            <w:r>
              <w:rPr>
                <w:rFonts w:ascii="Aptos" w:hAnsi="Aptos"/>
                <w:b w:val="0"/>
                <w:i w:val="0"/>
                <w:color w:val="24323D"/>
                <w:sz w:val="18"/>
              </w:rPr>
              <w:t>☐</w:t>
            </w:r>
          </w:p>
        </w:tc>
      </w:tr>
      <w:tr>
        <w:tc>
          <w:tcPr>
            <w:tcW w:type="dxa" w:w="6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Could I manage essential payments for one week alone?</w:t>
            </w:r>
          </w:p>
        </w:tc>
        <w:tc>
          <w:tcPr>
            <w:tcW w:type="dxa" w:w="123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w:t>
            </w:r>
          </w:p>
        </w:tc>
        <w:tc>
          <w:tcPr>
            <w:tcW w:type="dxa" w:w="123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w:t>
            </w:r>
          </w:p>
        </w:tc>
      </w:tr>
    </w:tbl>
    <w:p>
      <w:pPr>
        <w:spacing w:after="20"/>
      </w:pPr>
    </w:p>
    <w:p>
      <w:pPr>
        <w:widowControl/>
      </w:pPr>
      <w:r>
        <w:rPr>
          <w:rFonts w:ascii="Aptos" w:hAnsi="Aptos"/>
          <w:b w:val="0"/>
          <w:i w:val="0"/>
          <w:color w:val="24323D"/>
          <w:sz w:val="21"/>
        </w:rPr>
        <w:t>“Not sure” is not a failure. It is a clear next step. Replace “I do not know” with “I am finding out.”</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Confidence begins when you are willing to ask the question, not when you already know the answer.</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Choose one “not sure” item and locate only that information today.</w:t>
            </w:r>
          </w:p>
        </w:tc>
      </w:tr>
    </w:tbl>
    <w:p>
      <w:pPr>
        <w:spacing w:after="20"/>
      </w:pPr>
    </w:p>
    <w:p>
      <w:r>
        <w:br w:type="page"/>
      </w:r>
    </w:p>
    <w:p>
      <w:pPr>
        <w:pStyle w:val="MVKicker"/>
        <w:widowControl/>
      </w:pPr>
      <w:r>
        <w:rPr>
          <w:rFonts w:ascii="Aptos" w:hAnsi="Aptos"/>
          <w:b w:val="0"/>
          <w:i w:val="0"/>
          <w:color w:val="24323D"/>
          <w:sz w:val="21"/>
        </w:rPr>
        <w:t>CHAPTER 6</w:t>
      </w:r>
    </w:p>
    <w:p>
      <w:pPr>
        <w:pStyle w:val="Title"/>
      </w:pPr>
      <w:r>
        <w:t>Preparing for Rainy Days</w:t>
      </w:r>
    </w:p>
    <w:p>
      <w:pPr>
        <w:pStyle w:val="MVQuote"/>
        <w:widowControl/>
      </w:pPr>
      <w:r>
        <w:rPr>
          <w:rFonts w:ascii="Aptos" w:hAnsi="Aptos"/>
          <w:b w:val="0"/>
          <w:i/>
          <w:color w:val="24323D"/>
          <w:sz w:val="21"/>
        </w:rPr>
        <w:t>“Life is unpredictable. Your first line of defence can still be planned.”</w:t>
      </w:r>
    </w:p>
    <w:p>
      <w:pPr>
        <w:widowControl/>
      </w:pPr>
      <w:r>
        <w:rPr>
          <w:rFonts w:ascii="Aptos" w:hAnsi="Aptos"/>
          <w:b w:val="0"/>
          <w:i w:val="0"/>
          <w:color w:val="24323D"/>
          <w:sz w:val="21"/>
        </w:rPr>
        <w:t>A medical test, job interruption, urgent journey or broken appliance becomes more stressful when the family must borrow immediately or sell a long-term investment.</w:t>
      </w:r>
    </w:p>
    <w:p>
      <w:pPr>
        <w:pStyle w:val="Heading1"/>
      </w:pPr>
      <w:r>
        <w:t>What an emergency fund is—and is not</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4680"/>
            <w:tcMar>
              <w:top w:w="90" w:type="dxa"/>
              <w:start w:w="120" w:type="dxa"/>
              <w:bottom w:w="90" w:type="dxa"/>
              <w:end w:w="120" w:type="dxa"/>
            </w:tcMar>
            <w:shd w:fill="24445C"/>
            <w:vAlign w:val="center"/>
          </w:tcPr>
          <w:p>
            <w:pPr>
              <w:spacing w:after="0"/>
            </w:pPr>
            <w:r>
              <w:rPr>
                <w:rFonts w:ascii="Aptos" w:hAnsi="Aptos"/>
                <w:b/>
                <w:i w:val="0"/>
                <w:color w:val="FFFFFF"/>
                <w:sz w:val="18"/>
              </w:rPr>
              <w:t>Emergency</w:t>
            </w:r>
          </w:p>
        </w:tc>
        <w:tc>
          <w:tcPr>
            <w:tcW w:type="dxa" w:w="4680"/>
            <w:tcMar>
              <w:top w:w="90" w:type="dxa"/>
              <w:start w:w="120" w:type="dxa"/>
              <w:bottom w:w="90" w:type="dxa"/>
              <w:end w:w="120" w:type="dxa"/>
            </w:tcMar>
            <w:shd w:fill="24445C"/>
            <w:vAlign w:val="center"/>
          </w:tcPr>
          <w:p>
            <w:pPr>
              <w:spacing w:after="0"/>
            </w:pPr>
            <w:r>
              <w:rPr>
                <w:rFonts w:ascii="Aptos" w:hAnsi="Aptos"/>
                <w:b/>
                <w:i w:val="0"/>
                <w:color w:val="FFFFFF"/>
                <w:sz w:val="18"/>
              </w:rPr>
              <w:t>Planned or optional expense</w:t>
            </w:r>
          </w:p>
        </w:tc>
      </w:tr>
      <w:tr>
        <w:tc>
          <w:tcPr>
            <w:tcW w:type="dxa" w:w="4680"/>
            <w:tcMar>
              <w:top w:w="90" w:type="dxa"/>
              <w:start w:w="120" w:type="dxa"/>
              <w:bottom w:w="90" w:type="dxa"/>
              <w:end w:w="120" w:type="dxa"/>
            </w:tcMar>
            <w:vAlign w:val="center"/>
          </w:tcPr>
          <w:p>
            <w:pPr>
              <w:spacing w:after="0" w:line="252" w:lineRule="auto"/>
            </w:pPr>
            <w:r>
              <w:rPr>
                <w:rFonts w:ascii="Aptos" w:hAnsi="Aptos"/>
                <w:b w:val="0"/>
                <w:i w:val="0"/>
                <w:color w:val="24323D"/>
                <w:sz w:val="18"/>
              </w:rPr>
              <w:t>Income interruption</w:t>
            </w:r>
          </w:p>
        </w:tc>
        <w:tc>
          <w:tcPr>
            <w:tcW w:type="dxa" w:w="4680"/>
            <w:tcMar>
              <w:top w:w="90" w:type="dxa"/>
              <w:start w:w="120" w:type="dxa"/>
              <w:bottom w:w="90" w:type="dxa"/>
              <w:end w:w="120" w:type="dxa"/>
            </w:tcMar>
            <w:vAlign w:val="center"/>
          </w:tcPr>
          <w:p>
            <w:pPr>
              <w:spacing w:after="0" w:line="252" w:lineRule="auto"/>
            </w:pPr>
            <w:r>
              <w:rPr>
                <w:rFonts w:ascii="Aptos" w:hAnsi="Aptos"/>
                <w:b w:val="0"/>
                <w:i w:val="0"/>
                <w:color w:val="24323D"/>
                <w:sz w:val="18"/>
              </w:rPr>
              <w:t>Holiday</w:t>
            </w:r>
          </w:p>
        </w:tc>
      </w:tr>
      <w:tr>
        <w:tc>
          <w:tcPr>
            <w:tcW w:type="dxa" w:w="468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Urgent essential medical cost</w:t>
            </w:r>
          </w:p>
        </w:tc>
        <w:tc>
          <w:tcPr>
            <w:tcW w:type="dxa" w:w="468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Festival shopping</w:t>
            </w:r>
          </w:p>
        </w:tc>
      </w:tr>
      <w:tr>
        <w:tc>
          <w:tcPr>
            <w:tcW w:type="dxa" w:w="4680"/>
            <w:tcMar>
              <w:top w:w="90" w:type="dxa"/>
              <w:start w:w="120" w:type="dxa"/>
              <w:bottom w:w="90" w:type="dxa"/>
              <w:end w:w="120" w:type="dxa"/>
            </w:tcMar>
            <w:vAlign w:val="center"/>
          </w:tcPr>
          <w:p>
            <w:pPr>
              <w:spacing w:after="0" w:line="252" w:lineRule="auto"/>
            </w:pPr>
            <w:r>
              <w:rPr>
                <w:rFonts w:ascii="Aptos" w:hAnsi="Aptos"/>
                <w:b w:val="0"/>
                <w:i w:val="0"/>
                <w:color w:val="24323D"/>
                <w:sz w:val="18"/>
              </w:rPr>
              <w:t>Critical home or vehicle repair</w:t>
            </w:r>
          </w:p>
        </w:tc>
        <w:tc>
          <w:tcPr>
            <w:tcW w:type="dxa" w:w="4680"/>
            <w:tcMar>
              <w:top w:w="90" w:type="dxa"/>
              <w:start w:w="120" w:type="dxa"/>
              <w:bottom w:w="90" w:type="dxa"/>
              <w:end w:w="120" w:type="dxa"/>
            </w:tcMar>
            <w:vAlign w:val="center"/>
          </w:tcPr>
          <w:p>
            <w:pPr>
              <w:spacing w:after="0" w:line="252" w:lineRule="auto"/>
            </w:pPr>
            <w:r>
              <w:rPr>
                <w:rFonts w:ascii="Aptos" w:hAnsi="Aptos"/>
                <w:b w:val="0"/>
                <w:i w:val="0"/>
                <w:color w:val="24323D"/>
                <w:sz w:val="18"/>
              </w:rPr>
              <w:t>Routine upgrade</w:t>
            </w:r>
          </w:p>
        </w:tc>
      </w:tr>
      <w:tr>
        <w:tc>
          <w:tcPr>
            <w:tcW w:type="dxa" w:w="468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Immediate family responsibility</w:t>
            </w:r>
          </w:p>
        </w:tc>
        <w:tc>
          <w:tcPr>
            <w:tcW w:type="dxa" w:w="468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A sale or limited-time offer</w:t>
            </w:r>
          </w:p>
        </w:tc>
      </w:tr>
    </w:tbl>
    <w:p>
      <w:pPr>
        <w:spacing w:after="20"/>
      </w:pPr>
    </w:p>
    <w:p>
      <w:pPr>
        <w:widowControl/>
      </w:pPr>
      <w:r>
        <w:rPr>
          <w:rFonts w:ascii="Aptos" w:hAnsi="Aptos"/>
          <w:b w:val="0"/>
          <w:i w:val="0"/>
          <w:color w:val="24323D"/>
          <w:sz w:val="21"/>
        </w:rPr>
        <w:t>The target depends on essential expenses, income stability, number of earners, dependants, insurance and support. Start with the first achievable milestone rather than waiting for a perfect six-month number.</w:t>
      </w:r>
    </w:p>
    <w:p>
      <w:pPr>
        <w:pStyle w:val="ListBullet"/>
        <w:spacing w:after="60"/>
        <w:ind w:left="504" w:hanging="259"/>
      </w:pPr>
      <w:r>
        <w:rPr>
          <w:rFonts w:ascii="Aptos" w:hAnsi="Aptos"/>
          <w:b w:val="0"/>
          <w:i w:val="0"/>
          <w:color w:val="24323D"/>
          <w:sz w:val="20"/>
        </w:rPr>
        <w:t>Keep emergency money accessible and easy to understand.</w:t>
      </w:r>
    </w:p>
    <w:p>
      <w:pPr>
        <w:pStyle w:val="ListBullet"/>
        <w:spacing w:after="60"/>
        <w:ind w:left="504" w:hanging="259"/>
      </w:pPr>
      <w:r>
        <w:rPr>
          <w:rFonts w:ascii="Aptos" w:hAnsi="Aptos"/>
          <w:b w:val="0"/>
          <w:i w:val="0"/>
          <w:color w:val="24323D"/>
          <w:sz w:val="20"/>
        </w:rPr>
        <w:t>Do not expose the whole reserve to large market falls or long lock-ins.</w:t>
      </w:r>
    </w:p>
    <w:p>
      <w:pPr>
        <w:pStyle w:val="ListBullet"/>
        <w:spacing w:after="60"/>
        <w:ind w:left="504" w:hanging="259"/>
      </w:pPr>
      <w:r>
        <w:rPr>
          <w:rFonts w:ascii="Aptos" w:hAnsi="Aptos"/>
          <w:b w:val="0"/>
          <w:i w:val="0"/>
          <w:color w:val="24323D"/>
          <w:sz w:val="20"/>
        </w:rPr>
        <w:t>Define who can access it and what counts as an emergency.</w:t>
      </w:r>
    </w:p>
    <w:p>
      <w:pPr>
        <w:pStyle w:val="ListBullet"/>
        <w:spacing w:after="60"/>
        <w:ind w:left="504" w:hanging="259"/>
      </w:pPr>
      <w:r>
        <w:rPr>
          <w:rFonts w:ascii="Aptos" w:hAnsi="Aptos"/>
          <w:b w:val="0"/>
          <w:i w:val="0"/>
          <w:color w:val="24323D"/>
          <w:sz w:val="20"/>
        </w:rPr>
        <w:t>Refill it after use without blaming yourself.</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An emergency fund cannot prevent a difficult day. It can stop that day from becoming a long financial crisis.</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Write your essential monthly expense and choose the first emergency-fund milestone you can build.</w:t>
            </w:r>
          </w:p>
        </w:tc>
      </w:tr>
    </w:tbl>
    <w:p>
      <w:pPr>
        <w:spacing w:after="20"/>
      </w:pPr>
    </w:p>
    <w:p>
      <w:r>
        <w:br w:type="page"/>
      </w:r>
    </w:p>
    <w:p>
      <w:pPr>
        <w:pStyle w:val="MVKicker"/>
        <w:widowControl/>
      </w:pPr>
      <w:r>
        <w:rPr>
          <w:rFonts w:ascii="Aptos" w:hAnsi="Aptos"/>
          <w:b w:val="0"/>
          <w:i w:val="0"/>
          <w:color w:val="24323D"/>
          <w:sz w:val="21"/>
        </w:rPr>
        <w:t>CHAPTER 7</w:t>
      </w:r>
    </w:p>
    <w:p>
      <w:pPr>
        <w:pStyle w:val="Title"/>
      </w:pPr>
      <w:r>
        <w:t>A Budget Isn’t a Diet</w:t>
      </w:r>
    </w:p>
    <w:p>
      <w:pPr>
        <w:pStyle w:val="MVQuote"/>
        <w:widowControl/>
      </w:pPr>
      <w:r>
        <w:rPr>
          <w:rFonts w:ascii="Aptos" w:hAnsi="Aptos"/>
          <w:b w:val="0"/>
          <w:i/>
          <w:color w:val="24323D"/>
          <w:sz w:val="21"/>
        </w:rPr>
        <w:t>“A budget should help you do more of what matters—not make life feel smaller.”</w:t>
      </w:r>
    </w:p>
    <w:p>
      <w:pPr>
        <w:widowControl/>
      </w:pPr>
      <w:r>
        <w:rPr>
          <w:rFonts w:ascii="Aptos" w:hAnsi="Aptos"/>
          <w:b w:val="0"/>
          <w:i w:val="0"/>
          <w:color w:val="24323D"/>
          <w:sz w:val="21"/>
        </w:rPr>
        <w:t>Budgeting is often presented as a list of things to stop. A useful budget is a plan for what money should protect, provide and make possible.</w:t>
      </w:r>
    </w:p>
    <w:p>
      <w:pPr>
        <w:pStyle w:val="Heading1"/>
      </w:pPr>
      <w:r>
        <w:t>A simple four-bucket plan</w:t>
      </w:r>
    </w:p>
    <w:tbl>
      <w:tblPr>
        <w:tblStyle w:val="TableGrid"/>
        <w:tblW w:type="dxa" w:w="9360"/>
        <w:jc w:val="center"/>
        <w:tblLayout w:type="fixed"/>
        <w:tblLook w:firstColumn="1" w:firstRow="1" w:lastColumn="0" w:lastRow="0" w:noHBand="0" w:noVBand="1" w:val="04A0"/>
        <w:tblInd w:w="120" w:type="dxa"/>
      </w:tblPr>
      <w:tblGrid>
        <w:gridCol w:w="2000"/>
        <w:gridCol w:w="7360"/>
      </w:tblGrid>
      <w:tr>
        <w:trPr>
          <w:tblHeader w:val="true"/>
        </w:trPr>
        <w:tc>
          <w:tcPr>
            <w:tcW w:type="dxa" w:w="2000"/>
            <w:tcMar>
              <w:top w:w="90" w:type="dxa"/>
              <w:start w:w="120" w:type="dxa"/>
              <w:bottom w:w="90" w:type="dxa"/>
              <w:end w:w="120" w:type="dxa"/>
            </w:tcMar>
            <w:shd w:fill="24445C"/>
            <w:vAlign w:val="center"/>
          </w:tcPr>
          <w:p>
            <w:pPr>
              <w:spacing w:after="0"/>
            </w:pPr>
            <w:r>
              <w:rPr>
                <w:rFonts w:ascii="Aptos" w:hAnsi="Aptos"/>
                <w:b/>
                <w:i w:val="0"/>
                <w:color w:val="FFFFFF"/>
                <w:sz w:val="18"/>
              </w:rPr>
              <w:t>Bucket</w:t>
            </w:r>
          </w:p>
        </w:tc>
        <w:tc>
          <w:tcPr>
            <w:tcW w:type="dxa" w:w="7360"/>
            <w:tcMar>
              <w:top w:w="90" w:type="dxa"/>
              <w:start w:w="120" w:type="dxa"/>
              <w:bottom w:w="90" w:type="dxa"/>
              <w:end w:w="120" w:type="dxa"/>
            </w:tcMar>
            <w:shd w:fill="24445C"/>
            <w:vAlign w:val="center"/>
          </w:tcPr>
          <w:p>
            <w:pPr>
              <w:spacing w:after="0"/>
            </w:pPr>
            <w:r>
              <w:rPr>
                <w:rFonts w:ascii="Aptos" w:hAnsi="Aptos"/>
                <w:b/>
                <w:i w:val="0"/>
                <w:color w:val="FFFFFF"/>
                <w:sz w:val="18"/>
              </w:rPr>
              <w:t>Purpose</w:t>
            </w:r>
          </w:p>
        </w:tc>
      </w:tr>
      <w:tr>
        <w:tc>
          <w:tcPr>
            <w:tcW w:type="dxa" w:w="2000"/>
            <w:tcMar>
              <w:top w:w="90" w:type="dxa"/>
              <w:start w:w="120" w:type="dxa"/>
              <w:bottom w:w="90" w:type="dxa"/>
              <w:end w:w="120" w:type="dxa"/>
            </w:tcMar>
            <w:vAlign w:val="center"/>
          </w:tcPr>
          <w:p>
            <w:pPr>
              <w:spacing w:after="0" w:line="252" w:lineRule="auto"/>
            </w:pPr>
            <w:r>
              <w:rPr>
                <w:rFonts w:ascii="Aptos" w:hAnsi="Aptos"/>
                <w:b w:val="0"/>
                <w:i w:val="0"/>
                <w:color w:val="24323D"/>
                <w:sz w:val="18"/>
              </w:rPr>
              <w:t>Live</w:t>
            </w:r>
          </w:p>
        </w:tc>
        <w:tc>
          <w:tcPr>
            <w:tcW w:type="dxa" w:w="7360"/>
            <w:tcMar>
              <w:top w:w="90" w:type="dxa"/>
              <w:start w:w="120" w:type="dxa"/>
              <w:bottom w:w="90" w:type="dxa"/>
              <w:end w:w="120" w:type="dxa"/>
            </w:tcMar>
            <w:vAlign w:val="center"/>
          </w:tcPr>
          <w:p>
            <w:pPr>
              <w:spacing w:after="0" w:line="252" w:lineRule="auto"/>
            </w:pPr>
            <w:r>
              <w:rPr>
                <w:rFonts w:ascii="Aptos" w:hAnsi="Aptos"/>
                <w:b w:val="0"/>
                <w:i w:val="0"/>
                <w:color w:val="24323D"/>
                <w:sz w:val="18"/>
              </w:rPr>
              <w:t>Essentials and everyday family life</w:t>
            </w:r>
          </w:p>
        </w:tc>
      </w:tr>
      <w:tr>
        <w:tc>
          <w:tcPr>
            <w:tcW w:type="dxa" w:w="2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Protect</w:t>
            </w:r>
          </w:p>
        </w:tc>
        <w:tc>
          <w:tcPr>
            <w:tcW w:type="dxa" w:w="73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Emergency savings and insurance</w:t>
            </w:r>
          </w:p>
        </w:tc>
      </w:tr>
      <w:tr>
        <w:tc>
          <w:tcPr>
            <w:tcW w:type="dxa" w:w="2000"/>
            <w:tcMar>
              <w:top w:w="90" w:type="dxa"/>
              <w:start w:w="120" w:type="dxa"/>
              <w:bottom w:w="90" w:type="dxa"/>
              <w:end w:w="120" w:type="dxa"/>
            </w:tcMar>
            <w:vAlign w:val="center"/>
          </w:tcPr>
          <w:p>
            <w:pPr>
              <w:spacing w:after="0" w:line="252" w:lineRule="auto"/>
            </w:pPr>
            <w:r>
              <w:rPr>
                <w:rFonts w:ascii="Aptos" w:hAnsi="Aptos"/>
                <w:b w:val="0"/>
                <w:i w:val="0"/>
                <w:color w:val="24323D"/>
                <w:sz w:val="18"/>
              </w:rPr>
              <w:t>Grow</w:t>
            </w:r>
          </w:p>
        </w:tc>
        <w:tc>
          <w:tcPr>
            <w:tcW w:type="dxa" w:w="7360"/>
            <w:tcMar>
              <w:top w:w="90" w:type="dxa"/>
              <w:start w:w="120" w:type="dxa"/>
              <w:bottom w:w="90" w:type="dxa"/>
              <w:end w:w="120" w:type="dxa"/>
            </w:tcMar>
            <w:vAlign w:val="center"/>
          </w:tcPr>
          <w:p>
            <w:pPr>
              <w:spacing w:after="0" w:line="252" w:lineRule="auto"/>
            </w:pPr>
            <w:r>
              <w:rPr>
                <w:rFonts w:ascii="Aptos" w:hAnsi="Aptos"/>
                <w:b w:val="0"/>
                <w:i w:val="0"/>
                <w:color w:val="24323D"/>
                <w:sz w:val="18"/>
              </w:rPr>
              <w:t>Long-term goals and retirement</w:t>
            </w:r>
          </w:p>
        </w:tc>
      </w:tr>
      <w:tr>
        <w:tc>
          <w:tcPr>
            <w:tcW w:type="dxa" w:w="2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Enjoy</w:t>
            </w:r>
          </w:p>
        </w:tc>
        <w:tc>
          <w:tcPr>
            <w:tcW w:type="dxa" w:w="73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Flexible spending, celebrations and rest</w:t>
            </w:r>
          </w:p>
        </w:tc>
      </w:tr>
    </w:tbl>
    <w:p>
      <w:pPr>
        <w:spacing w:after="20"/>
      </w:pPr>
    </w:p>
    <w:p>
      <w:pPr>
        <w:widowControl/>
      </w:pPr>
      <w:r>
        <w:rPr>
          <w:rFonts w:ascii="Aptos" w:hAnsi="Aptos"/>
          <w:b w:val="0"/>
          <w:i w:val="0"/>
          <w:color w:val="24323D"/>
          <w:sz w:val="21"/>
        </w:rPr>
        <w:t>The proportions will differ by family and season. A newborn, career break or loan may temporarily change the plan. A budget has failed only when it no longer helps you make decisions—not when one month looks different.</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JOY BELONGS IN THE PLAN</w:t>
            </w:r>
          </w:p>
          <w:p>
            <w:pPr>
              <w:spacing w:after="0"/>
            </w:pPr>
            <w:r>
              <w:rPr>
                <w:rFonts w:ascii="Aptos" w:hAnsi="Aptos"/>
                <w:b w:val="0"/>
                <w:i w:val="0"/>
                <w:color w:val="24323D"/>
                <w:sz w:val="20"/>
              </w:rPr>
              <w:t>Rest, convenience and celebration have value. The goal is intentional spending, not punishment.</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A good budget reflects your family’s values rather than someone else’s percentages.</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Look at the last three purchases. Would you happily choose each one again?</w:t>
            </w:r>
          </w:p>
        </w:tc>
      </w:tr>
    </w:tbl>
    <w:p>
      <w:pPr>
        <w:spacing w:after="20"/>
      </w:pPr>
    </w:p>
    <w:p>
      <w:r>
        <w:br w:type="page"/>
      </w:r>
    </w:p>
    <w:p>
      <w:pPr>
        <w:pStyle w:val="MVKicker"/>
        <w:widowControl/>
      </w:pPr>
      <w:r>
        <w:rPr>
          <w:rFonts w:ascii="Aptos" w:hAnsi="Aptos"/>
          <w:b w:val="0"/>
          <w:i w:val="0"/>
          <w:color w:val="24323D"/>
          <w:sz w:val="21"/>
        </w:rPr>
        <w:t>CHAPTER 8</w:t>
      </w:r>
    </w:p>
    <w:p>
      <w:pPr>
        <w:pStyle w:val="Title"/>
      </w:pPr>
      <w:r>
        <w:t>Giving Your Future Self a Gift</w:t>
      </w:r>
    </w:p>
    <w:p>
      <w:pPr>
        <w:pStyle w:val="MVQuote"/>
        <w:widowControl/>
      </w:pPr>
      <w:r>
        <w:rPr>
          <w:rFonts w:ascii="Aptos" w:hAnsi="Aptos"/>
          <w:b w:val="0"/>
          <w:i/>
          <w:color w:val="24323D"/>
          <w:sz w:val="21"/>
        </w:rPr>
        <w:t>“Saving is one way of telling tomorrow: I remembered you.”</w:t>
      </w:r>
    </w:p>
    <w:p>
      <w:pPr>
        <w:widowControl/>
      </w:pPr>
      <w:r>
        <w:rPr>
          <w:rFonts w:ascii="Aptos" w:hAnsi="Aptos"/>
          <w:b w:val="0"/>
          <w:i w:val="0"/>
          <w:color w:val="24323D"/>
          <w:sz w:val="21"/>
        </w:rPr>
        <w:t>Mothers prepare for everyone: the next shoe size, the medicine box, the school form. Saving is the same skill directed toward the future—including your own.</w:t>
      </w:r>
    </w:p>
    <w:p>
      <w:pPr>
        <w:pStyle w:val="Heading1"/>
      </w:pPr>
      <w:r>
        <w:t>Give savings a name</w:t>
      </w:r>
    </w:p>
    <w:tbl>
      <w:tblPr>
        <w:tblStyle w:val="TableGrid"/>
        <w:tblW w:type="dxa" w:w="9360"/>
        <w:jc w:val="center"/>
        <w:tblLayout w:type="fixed"/>
        <w:tblLook w:firstColumn="1" w:firstRow="1" w:lastColumn="0" w:lastRow="0" w:noHBand="0" w:noVBand="1" w:val="04A0"/>
        <w:tblInd w:w="120" w:type="dxa"/>
      </w:tblPr>
      <w:tblGrid>
        <w:gridCol w:w="3500"/>
        <w:gridCol w:w="5860"/>
      </w:tblGrid>
      <w:tr>
        <w:trPr>
          <w:tblHeader w:val="true"/>
        </w:trPr>
        <w:tc>
          <w:tcPr>
            <w:tcW w:type="dxa" w:w="3500"/>
            <w:tcMar>
              <w:top w:w="90" w:type="dxa"/>
              <w:start w:w="120" w:type="dxa"/>
              <w:bottom w:w="90" w:type="dxa"/>
              <w:end w:w="120" w:type="dxa"/>
            </w:tcMar>
            <w:shd w:fill="24445C"/>
            <w:vAlign w:val="center"/>
          </w:tcPr>
          <w:p>
            <w:pPr>
              <w:spacing w:after="0"/>
            </w:pPr>
            <w:r>
              <w:rPr>
                <w:rFonts w:ascii="Aptos" w:hAnsi="Aptos"/>
                <w:b/>
                <w:i w:val="0"/>
                <w:color w:val="FFFFFF"/>
                <w:sz w:val="18"/>
              </w:rPr>
              <w:t>Unnamed saving</w:t>
            </w:r>
          </w:p>
        </w:tc>
        <w:tc>
          <w:tcPr>
            <w:tcW w:type="dxa" w:w="5860"/>
            <w:tcMar>
              <w:top w:w="90" w:type="dxa"/>
              <w:start w:w="120" w:type="dxa"/>
              <w:bottom w:w="90" w:type="dxa"/>
              <w:end w:w="120" w:type="dxa"/>
            </w:tcMar>
            <w:shd w:fill="24445C"/>
            <w:vAlign w:val="center"/>
          </w:tcPr>
          <w:p>
            <w:pPr>
              <w:spacing w:after="0"/>
            </w:pPr>
            <w:r>
              <w:rPr>
                <w:rFonts w:ascii="Aptos" w:hAnsi="Aptos"/>
                <w:b/>
                <w:i w:val="0"/>
                <w:color w:val="FFFFFF"/>
                <w:sz w:val="18"/>
              </w:rPr>
              <w:t>Named purpose</w:t>
            </w:r>
          </w:p>
        </w:tc>
      </w:tr>
      <w:tr>
        <w:tc>
          <w:tcPr>
            <w:tcW w:type="dxa" w:w="3500"/>
            <w:tcMar>
              <w:top w:w="90" w:type="dxa"/>
              <w:start w:w="120" w:type="dxa"/>
              <w:bottom w:w="90" w:type="dxa"/>
              <w:end w:w="120" w:type="dxa"/>
            </w:tcMar>
            <w:vAlign w:val="center"/>
          </w:tcPr>
          <w:p>
            <w:pPr>
              <w:spacing w:after="0" w:line="252" w:lineRule="auto"/>
            </w:pPr>
            <w:r>
              <w:rPr>
                <w:rFonts w:ascii="Aptos" w:hAnsi="Aptos"/>
                <w:b w:val="0"/>
                <w:i w:val="0"/>
                <w:color w:val="24323D"/>
                <w:sz w:val="18"/>
              </w:rPr>
              <w:t>Money left in account</w:t>
            </w:r>
          </w:p>
        </w:tc>
        <w:tc>
          <w:tcPr>
            <w:tcW w:type="dxa" w:w="5860"/>
            <w:tcMar>
              <w:top w:w="90" w:type="dxa"/>
              <w:start w:w="120" w:type="dxa"/>
              <w:bottom w:w="90" w:type="dxa"/>
              <w:end w:w="120" w:type="dxa"/>
            </w:tcMar>
            <w:vAlign w:val="center"/>
          </w:tcPr>
          <w:p>
            <w:pPr>
              <w:spacing w:after="0" w:line="252" w:lineRule="auto"/>
            </w:pPr>
            <w:r>
              <w:rPr>
                <w:rFonts w:ascii="Aptos" w:hAnsi="Aptos"/>
                <w:b w:val="0"/>
                <w:i w:val="0"/>
                <w:color w:val="24323D"/>
                <w:sz w:val="18"/>
              </w:rPr>
              <w:t>Emergency reserve</w:t>
            </w:r>
          </w:p>
        </w:tc>
      </w:tr>
      <w:tr>
        <w:tc>
          <w:tcPr>
            <w:tcW w:type="dxa" w:w="3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Small monthly transfer</w:t>
            </w:r>
          </w:p>
        </w:tc>
        <w:tc>
          <w:tcPr>
            <w:tcW w:type="dxa" w:w="58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Course or career restart</w:t>
            </w:r>
          </w:p>
        </w:tc>
      </w:tr>
      <w:tr>
        <w:tc>
          <w:tcPr>
            <w:tcW w:type="dxa" w:w="3500"/>
            <w:tcMar>
              <w:top w:w="90" w:type="dxa"/>
              <w:start w:w="120" w:type="dxa"/>
              <w:bottom w:w="90" w:type="dxa"/>
              <w:end w:w="120" w:type="dxa"/>
            </w:tcMar>
            <w:vAlign w:val="center"/>
          </w:tcPr>
          <w:p>
            <w:pPr>
              <w:spacing w:after="0" w:line="252" w:lineRule="auto"/>
            </w:pPr>
            <w:r>
              <w:rPr>
                <w:rFonts w:ascii="Aptos" w:hAnsi="Aptos"/>
                <w:b w:val="0"/>
                <w:i w:val="0"/>
                <w:color w:val="24323D"/>
                <w:sz w:val="18"/>
              </w:rPr>
              <w:t>Festival bonus</w:t>
            </w:r>
          </w:p>
        </w:tc>
        <w:tc>
          <w:tcPr>
            <w:tcW w:type="dxa" w:w="5860"/>
            <w:tcMar>
              <w:top w:w="90" w:type="dxa"/>
              <w:start w:w="120" w:type="dxa"/>
              <w:bottom w:w="90" w:type="dxa"/>
              <w:end w:w="120" w:type="dxa"/>
            </w:tcMar>
            <w:vAlign w:val="center"/>
          </w:tcPr>
          <w:p>
            <w:pPr>
              <w:spacing w:after="0" w:line="252" w:lineRule="auto"/>
            </w:pPr>
            <w:r>
              <w:rPr>
                <w:rFonts w:ascii="Aptos" w:hAnsi="Aptos"/>
                <w:b w:val="0"/>
                <w:i w:val="0"/>
                <w:color w:val="24323D"/>
                <w:sz w:val="18"/>
              </w:rPr>
              <w:t>Annual expenses</w:t>
            </w:r>
          </w:p>
        </w:tc>
      </w:tr>
      <w:tr>
        <w:tc>
          <w:tcPr>
            <w:tcW w:type="dxa" w:w="3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Long-term contribution</w:t>
            </w:r>
          </w:p>
        </w:tc>
        <w:tc>
          <w:tcPr>
            <w:tcW w:type="dxa" w:w="58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Retirement or child’s education</w:t>
            </w:r>
          </w:p>
        </w:tc>
      </w:tr>
    </w:tbl>
    <w:p>
      <w:pPr>
        <w:spacing w:after="20"/>
      </w:pPr>
    </w:p>
    <w:p>
      <w:pPr>
        <w:widowControl/>
      </w:pPr>
      <w:r>
        <w:rPr>
          <w:rFonts w:ascii="Aptos" w:hAnsi="Aptos"/>
          <w:b w:val="0"/>
          <w:i w:val="0"/>
          <w:color w:val="24323D"/>
          <w:sz w:val="21"/>
        </w:rPr>
        <w:t>Naming a goal makes progress visible and helps protect the money from unrelated spending. Begin with an amount that can continue. Consistency is more valuable than an impressive first month followed by stress.</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Saving is not only about having extra money. It is about creating extra choice.</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Name one savings goal and arrange a small repeatable transfer or calendar reminder.</w:t>
            </w:r>
          </w:p>
        </w:tc>
      </w:tr>
    </w:tbl>
    <w:p>
      <w:pPr>
        <w:spacing w:after="20"/>
      </w:pPr>
    </w:p>
    <w:p>
      <w:r>
        <w:br w:type="page"/>
      </w:r>
    </w:p>
    <w:p>
      <w:pPr>
        <w:pStyle w:val="MVKicker"/>
        <w:widowControl/>
      </w:pPr>
      <w:r>
        <w:rPr>
          <w:rFonts w:ascii="Aptos" w:hAnsi="Aptos"/>
          <w:b w:val="0"/>
          <w:i w:val="0"/>
          <w:color w:val="24323D"/>
          <w:sz w:val="21"/>
        </w:rPr>
        <w:t>CHAPTER 9</w:t>
      </w:r>
    </w:p>
    <w:p>
      <w:pPr>
        <w:pStyle w:val="Title"/>
      </w:pPr>
      <w:r>
        <w:t>Helping Your Money Grow</w:t>
      </w:r>
    </w:p>
    <w:p>
      <w:pPr>
        <w:pStyle w:val="MVQuote"/>
        <w:widowControl/>
      </w:pPr>
      <w:r>
        <w:rPr>
          <w:rFonts w:ascii="Aptos" w:hAnsi="Aptos"/>
          <w:b w:val="0"/>
          <w:i/>
          <w:color w:val="24323D"/>
          <w:sz w:val="21"/>
        </w:rPr>
        <w:t>“Saving protects the near future. Investing may help prepare for a distant one.”</w:t>
      </w:r>
    </w:p>
    <w:p>
      <w:pPr>
        <w:widowControl/>
      </w:pPr>
      <w:r>
        <w:rPr>
          <w:rFonts w:ascii="Aptos" w:hAnsi="Aptos"/>
          <w:b w:val="0"/>
          <w:i w:val="0"/>
          <w:color w:val="24323D"/>
          <w:sz w:val="21"/>
        </w:rPr>
        <w:t>Saving and investing are close companions, not rivals. Saving prioritises access and stability. Investing accepts some uncertainty in pursuit of growth over time.</w:t>
      </w:r>
    </w:p>
    <w:tbl>
      <w:tblPr>
        <w:tblStyle w:val="TableGrid"/>
        <w:tblW w:type="dxa" w:w="9360"/>
        <w:jc w:val="center"/>
        <w:tblLayout w:type="fixed"/>
        <w:tblLook w:firstColumn="1" w:firstRow="1" w:lastColumn="0" w:lastRow="0" w:noHBand="0" w:noVBand="1" w:val="04A0"/>
        <w:tblInd w:w="120" w:type="dxa"/>
      </w:tblPr>
      <w:tblGrid>
        <w:gridCol w:w="2800"/>
        <w:gridCol w:w="6560"/>
      </w:tblGrid>
      <w:tr>
        <w:trPr>
          <w:tblHeader w:val="true"/>
        </w:trPr>
        <w:tc>
          <w:tcPr>
            <w:tcW w:type="dxa" w:w="2800"/>
            <w:tcMar>
              <w:top w:w="90" w:type="dxa"/>
              <w:start w:w="120" w:type="dxa"/>
              <w:bottom w:w="90" w:type="dxa"/>
              <w:end w:w="120" w:type="dxa"/>
            </w:tcMar>
            <w:shd w:fill="24445C"/>
            <w:vAlign w:val="center"/>
          </w:tcPr>
          <w:p>
            <w:pPr>
              <w:spacing w:after="0"/>
            </w:pPr>
            <w:r>
              <w:rPr>
                <w:rFonts w:ascii="Aptos" w:hAnsi="Aptos"/>
                <w:b/>
                <w:i w:val="0"/>
                <w:color w:val="FFFFFF"/>
                <w:sz w:val="18"/>
              </w:rPr>
              <w:t>Money needed…</w:t>
            </w:r>
          </w:p>
        </w:tc>
        <w:tc>
          <w:tcPr>
            <w:tcW w:type="dxa" w:w="6560"/>
            <w:tcMar>
              <w:top w:w="90" w:type="dxa"/>
              <w:start w:w="120" w:type="dxa"/>
              <w:bottom w:w="90" w:type="dxa"/>
              <w:end w:w="120" w:type="dxa"/>
            </w:tcMar>
            <w:shd w:fill="24445C"/>
            <w:vAlign w:val="center"/>
          </w:tcPr>
          <w:p>
            <w:pPr>
              <w:spacing w:after="0"/>
            </w:pPr>
            <w:r>
              <w:rPr>
                <w:rFonts w:ascii="Aptos" w:hAnsi="Aptos"/>
                <w:b/>
                <w:i w:val="0"/>
                <w:color w:val="FFFFFF"/>
                <w:sz w:val="18"/>
              </w:rPr>
              <w:t>First concern</w:t>
            </w:r>
          </w:p>
        </w:tc>
      </w:tr>
      <w:tr>
        <w:tc>
          <w:tcPr>
            <w:tcW w:type="dxa" w:w="2800"/>
            <w:tcMar>
              <w:top w:w="90" w:type="dxa"/>
              <w:start w:w="120" w:type="dxa"/>
              <w:bottom w:w="90" w:type="dxa"/>
              <w:end w:w="120" w:type="dxa"/>
            </w:tcMar>
            <w:vAlign w:val="center"/>
          </w:tcPr>
          <w:p>
            <w:pPr>
              <w:spacing w:after="0" w:line="252" w:lineRule="auto"/>
            </w:pPr>
            <w:r>
              <w:rPr>
                <w:rFonts w:ascii="Aptos" w:hAnsi="Aptos"/>
                <w:b w:val="0"/>
                <w:i w:val="0"/>
                <w:color w:val="24323D"/>
                <w:sz w:val="18"/>
              </w:rPr>
              <w:t>This month</w:t>
            </w:r>
          </w:p>
        </w:tc>
        <w:tc>
          <w:tcPr>
            <w:tcW w:type="dxa" w:w="6560"/>
            <w:tcMar>
              <w:top w:w="90" w:type="dxa"/>
              <w:start w:w="120" w:type="dxa"/>
              <w:bottom w:w="90" w:type="dxa"/>
              <w:end w:w="120" w:type="dxa"/>
            </w:tcMar>
            <w:vAlign w:val="center"/>
          </w:tcPr>
          <w:p>
            <w:pPr>
              <w:spacing w:after="0" w:line="252" w:lineRule="auto"/>
            </w:pPr>
            <w:r>
              <w:rPr>
                <w:rFonts w:ascii="Aptos" w:hAnsi="Aptos"/>
                <w:b w:val="0"/>
                <w:i w:val="0"/>
                <w:color w:val="24323D"/>
                <w:sz w:val="18"/>
              </w:rPr>
              <w:t>Access and payment convenience</w:t>
            </w:r>
          </w:p>
        </w:tc>
      </w:tr>
      <w:tr>
        <w:tc>
          <w:tcPr>
            <w:tcW w:type="dxa" w:w="2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During an emergency</w:t>
            </w:r>
          </w:p>
        </w:tc>
        <w:tc>
          <w:tcPr>
            <w:tcW w:type="dxa" w:w="65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Liquidity and capital stability</w:t>
            </w:r>
          </w:p>
        </w:tc>
      </w:tr>
      <w:tr>
        <w:tc>
          <w:tcPr>
            <w:tcW w:type="dxa" w:w="2800"/>
            <w:tcMar>
              <w:top w:w="90" w:type="dxa"/>
              <w:start w:w="120" w:type="dxa"/>
              <w:bottom w:w="90" w:type="dxa"/>
              <w:end w:w="120" w:type="dxa"/>
            </w:tcMar>
            <w:vAlign w:val="center"/>
          </w:tcPr>
          <w:p>
            <w:pPr>
              <w:spacing w:after="0" w:line="252" w:lineRule="auto"/>
            </w:pPr>
            <w:r>
              <w:rPr>
                <w:rFonts w:ascii="Aptos" w:hAnsi="Aptos"/>
                <w:b w:val="0"/>
                <w:i w:val="0"/>
                <w:color w:val="24323D"/>
                <w:sz w:val="18"/>
              </w:rPr>
              <w:t>In one to three years</w:t>
            </w:r>
          </w:p>
        </w:tc>
        <w:tc>
          <w:tcPr>
            <w:tcW w:type="dxa" w:w="6560"/>
            <w:tcMar>
              <w:top w:w="90" w:type="dxa"/>
              <w:start w:w="120" w:type="dxa"/>
              <w:bottom w:w="90" w:type="dxa"/>
              <w:end w:w="120" w:type="dxa"/>
            </w:tcMar>
            <w:vAlign w:val="center"/>
          </w:tcPr>
          <w:p>
            <w:pPr>
              <w:spacing w:after="0" w:line="252" w:lineRule="auto"/>
            </w:pPr>
            <w:r>
              <w:rPr>
                <w:rFonts w:ascii="Aptos" w:hAnsi="Aptos"/>
                <w:b w:val="0"/>
                <w:i w:val="0"/>
                <w:color w:val="24323D"/>
                <w:sz w:val="18"/>
              </w:rPr>
              <w:t>Avoiding a large loss before the goal</w:t>
            </w:r>
          </w:p>
        </w:tc>
      </w:tr>
      <w:tr>
        <w:tc>
          <w:tcPr>
            <w:tcW w:type="dxa" w:w="2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In ten or more years</w:t>
            </w:r>
          </w:p>
        </w:tc>
        <w:tc>
          <w:tcPr>
            <w:tcW w:type="dxa" w:w="65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Growth, inflation and the ability to stay invested</w:t>
            </w:r>
          </w:p>
        </w:tc>
      </w:tr>
    </w:tbl>
    <w:p>
      <w:pPr>
        <w:spacing w:after="20"/>
      </w:pPr>
    </w:p>
    <w:p>
      <w:pPr>
        <w:widowControl/>
      </w:pPr>
      <w:r>
        <w:rPr>
          <w:rFonts w:ascii="Aptos" w:hAnsi="Aptos"/>
          <w:b w:val="0"/>
          <w:i w:val="0"/>
          <w:color w:val="24323D"/>
          <w:sz w:val="21"/>
        </w:rPr>
        <w:t>Inflation means a distant goal may cost more later. Investing can help, but it never removes risk. Begin with the goal and time horizon; never begin with the product everyone is discussing.</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A GENTLE RULE</w:t>
            </w:r>
          </w:p>
          <w:p>
            <w:pPr>
              <w:spacing w:after="0"/>
            </w:pPr>
            <w:r>
              <w:rPr>
                <w:rFonts w:ascii="Aptos" w:hAnsi="Aptos"/>
                <w:b w:val="0"/>
                <w:i w:val="0"/>
                <w:color w:val="24323D"/>
                <w:sz w:val="20"/>
              </w:rPr>
              <w:t>Do not invest money you may need for an emergency or near-term commitment in a product that can fall sharply or lock the money away.</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Good investing is not chasing the fastest growth. It is choosing an appropriate risk for a meaningful goal.</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Write one goal at least ten years away and the reason it matters.</w:t>
            </w:r>
          </w:p>
        </w:tc>
      </w:tr>
    </w:tbl>
    <w:p>
      <w:pPr>
        <w:spacing w:after="20"/>
      </w:pPr>
    </w:p>
    <w:p>
      <w:r>
        <w:br w:type="page"/>
      </w:r>
    </w:p>
    <w:p>
      <w:pPr>
        <w:pStyle w:val="MVKicker"/>
        <w:widowControl/>
      </w:pPr>
      <w:r>
        <w:rPr>
          <w:rFonts w:ascii="Aptos" w:hAnsi="Aptos"/>
          <w:b w:val="0"/>
          <w:i w:val="0"/>
          <w:color w:val="24323D"/>
          <w:sz w:val="21"/>
        </w:rPr>
        <w:t>CHAPTER 10</w:t>
      </w:r>
    </w:p>
    <w:p>
      <w:pPr>
        <w:pStyle w:val="Title"/>
      </w:pPr>
      <w:r>
        <w:t>Not Every Rupee Has the Same Job</w:t>
      </w:r>
    </w:p>
    <w:p>
      <w:pPr>
        <w:pStyle w:val="MVQuote"/>
        <w:widowControl/>
      </w:pPr>
      <w:r>
        <w:rPr>
          <w:rFonts w:ascii="Aptos" w:hAnsi="Aptos"/>
          <w:b w:val="0"/>
          <w:i/>
          <w:color w:val="24323D"/>
          <w:sz w:val="21"/>
        </w:rPr>
        <w:t>“Money becomes easier to manage when its purpose is clear.”</w:t>
      </w:r>
    </w:p>
    <w:p>
      <w:pPr>
        <w:widowControl/>
      </w:pPr>
      <w:r>
        <w:rPr>
          <w:rFonts w:ascii="Aptos" w:hAnsi="Aptos"/>
          <w:b w:val="0"/>
          <w:i w:val="0"/>
          <w:color w:val="24323D"/>
          <w:sz w:val="21"/>
        </w:rPr>
        <w:t>Keeping salary, bills, emergency savings and long-term goals in one mental pile creates confusion. Separate the jobs before choosing the products.</w:t>
      </w:r>
    </w:p>
    <w:tbl>
      <w:tblPr>
        <w:tblStyle w:val="TableGrid"/>
        <w:tblW w:type="dxa" w:w="9360"/>
        <w:jc w:val="center"/>
        <w:tblLayout w:type="fixed"/>
        <w:tblLook w:firstColumn="1" w:firstRow="1" w:lastColumn="0" w:lastRow="0" w:noHBand="0" w:noVBand="1" w:val="04A0"/>
        <w:tblInd w:w="120" w:type="dxa"/>
      </w:tblPr>
      <w:tblGrid>
        <w:gridCol w:w="2300"/>
        <w:gridCol w:w="2200"/>
        <w:gridCol w:w="4860"/>
      </w:tblGrid>
      <w:tr>
        <w:trPr>
          <w:tblHeader w:val="true"/>
        </w:trPr>
        <w:tc>
          <w:tcPr>
            <w:tcW w:type="dxa" w:w="2300"/>
            <w:tcMar>
              <w:top w:w="90" w:type="dxa"/>
              <w:start w:w="120" w:type="dxa"/>
              <w:bottom w:w="90" w:type="dxa"/>
              <w:end w:w="120" w:type="dxa"/>
            </w:tcMar>
            <w:shd w:fill="24445C"/>
            <w:vAlign w:val="center"/>
          </w:tcPr>
          <w:p>
            <w:pPr>
              <w:spacing w:after="0"/>
            </w:pPr>
            <w:r>
              <w:rPr>
                <w:rFonts w:ascii="Aptos" w:hAnsi="Aptos"/>
                <w:b/>
                <w:i w:val="0"/>
                <w:color w:val="FFFFFF"/>
                <w:sz w:val="18"/>
              </w:rPr>
              <w:t>Money job</w:t>
            </w:r>
          </w:p>
        </w:tc>
        <w:tc>
          <w:tcPr>
            <w:tcW w:type="dxa" w:w="2200"/>
            <w:tcMar>
              <w:top w:w="90" w:type="dxa"/>
              <w:start w:w="120" w:type="dxa"/>
              <w:bottom w:w="90" w:type="dxa"/>
              <w:end w:w="120" w:type="dxa"/>
            </w:tcMar>
            <w:shd w:fill="24445C"/>
            <w:vAlign w:val="center"/>
          </w:tcPr>
          <w:p>
            <w:pPr>
              <w:spacing w:after="0"/>
            </w:pPr>
            <w:r>
              <w:rPr>
                <w:rFonts w:ascii="Aptos" w:hAnsi="Aptos"/>
                <w:b/>
                <w:i w:val="0"/>
                <w:color w:val="FFFFFF"/>
                <w:sz w:val="18"/>
              </w:rPr>
              <w:t>Time</w:t>
            </w:r>
          </w:p>
        </w:tc>
        <w:tc>
          <w:tcPr>
            <w:tcW w:type="dxa" w:w="4860"/>
            <w:tcMar>
              <w:top w:w="90" w:type="dxa"/>
              <w:start w:w="120" w:type="dxa"/>
              <w:bottom w:w="90" w:type="dxa"/>
              <w:end w:w="120" w:type="dxa"/>
            </w:tcMar>
            <w:shd w:fill="24445C"/>
            <w:vAlign w:val="center"/>
          </w:tcPr>
          <w:p>
            <w:pPr>
              <w:spacing w:after="0"/>
            </w:pPr>
            <w:r>
              <w:rPr>
                <w:rFonts w:ascii="Aptos" w:hAnsi="Aptos"/>
                <w:b/>
                <w:i w:val="0"/>
                <w:color w:val="FFFFFF"/>
                <w:sz w:val="18"/>
              </w:rPr>
              <w:t>What it needs</w:t>
            </w:r>
          </w:p>
        </w:tc>
      </w:tr>
      <w:tr>
        <w:tc>
          <w:tcPr>
            <w:tcW w:type="dxa" w:w="2300"/>
            <w:tcMar>
              <w:top w:w="90" w:type="dxa"/>
              <w:start w:w="120" w:type="dxa"/>
              <w:bottom w:w="90" w:type="dxa"/>
              <w:end w:w="120" w:type="dxa"/>
            </w:tcMar>
            <w:vAlign w:val="center"/>
          </w:tcPr>
          <w:p>
            <w:pPr>
              <w:spacing w:after="0" w:line="252" w:lineRule="auto"/>
            </w:pPr>
            <w:r>
              <w:rPr>
                <w:rFonts w:ascii="Aptos" w:hAnsi="Aptos"/>
                <w:b w:val="0"/>
                <w:i w:val="0"/>
                <w:color w:val="24323D"/>
                <w:sz w:val="18"/>
              </w:rPr>
              <w:t>Everyday living</w:t>
            </w:r>
          </w:p>
        </w:tc>
        <w:tc>
          <w:tcPr>
            <w:tcW w:type="dxa" w:w="2200"/>
            <w:tcMar>
              <w:top w:w="90" w:type="dxa"/>
              <w:start w:w="120" w:type="dxa"/>
              <w:bottom w:w="90" w:type="dxa"/>
              <w:end w:w="120" w:type="dxa"/>
            </w:tcMar>
            <w:vAlign w:val="center"/>
          </w:tcPr>
          <w:p>
            <w:pPr>
              <w:spacing w:after="0" w:line="252" w:lineRule="auto"/>
            </w:pPr>
            <w:r>
              <w:rPr>
                <w:rFonts w:ascii="Aptos" w:hAnsi="Aptos"/>
                <w:b w:val="0"/>
                <w:i w:val="0"/>
                <w:color w:val="24323D"/>
                <w:sz w:val="18"/>
              </w:rPr>
              <w:t>Days to one month</w:t>
            </w:r>
          </w:p>
        </w:tc>
        <w:tc>
          <w:tcPr>
            <w:tcW w:type="dxa" w:w="4860"/>
            <w:tcMar>
              <w:top w:w="90" w:type="dxa"/>
              <w:start w:w="120" w:type="dxa"/>
              <w:bottom w:w="90" w:type="dxa"/>
              <w:end w:w="120" w:type="dxa"/>
            </w:tcMar>
            <w:vAlign w:val="center"/>
          </w:tcPr>
          <w:p>
            <w:pPr>
              <w:spacing w:after="0" w:line="252" w:lineRule="auto"/>
            </w:pPr>
            <w:r>
              <w:rPr>
                <w:rFonts w:ascii="Aptos" w:hAnsi="Aptos"/>
                <w:b w:val="0"/>
                <w:i w:val="0"/>
                <w:color w:val="24323D"/>
                <w:sz w:val="18"/>
              </w:rPr>
              <w:t>Immediate access</w:t>
            </w:r>
          </w:p>
        </w:tc>
      </w:tr>
      <w:tr>
        <w:tc>
          <w:tcPr>
            <w:tcW w:type="dxa" w:w="23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Safety net</w:t>
            </w:r>
          </w:p>
        </w:tc>
        <w:tc>
          <w:tcPr>
            <w:tcW w:type="dxa" w:w="2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Unexpected</w:t>
            </w:r>
          </w:p>
        </w:tc>
        <w:tc>
          <w:tcPr>
            <w:tcW w:type="dxa" w:w="48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Access and stability</w:t>
            </w:r>
          </w:p>
        </w:tc>
      </w:tr>
      <w:tr>
        <w:tc>
          <w:tcPr>
            <w:tcW w:type="dxa" w:w="2300"/>
            <w:tcMar>
              <w:top w:w="90" w:type="dxa"/>
              <w:start w:w="120" w:type="dxa"/>
              <w:bottom w:w="90" w:type="dxa"/>
              <w:end w:w="120" w:type="dxa"/>
            </w:tcMar>
            <w:vAlign w:val="center"/>
          </w:tcPr>
          <w:p>
            <w:pPr>
              <w:spacing w:after="0" w:line="252" w:lineRule="auto"/>
            </w:pPr>
            <w:r>
              <w:rPr>
                <w:rFonts w:ascii="Aptos" w:hAnsi="Aptos"/>
                <w:b w:val="0"/>
                <w:i w:val="0"/>
                <w:color w:val="24323D"/>
                <w:sz w:val="18"/>
              </w:rPr>
              <w:t>Planned dream</w:t>
            </w:r>
          </w:p>
        </w:tc>
        <w:tc>
          <w:tcPr>
            <w:tcW w:type="dxa" w:w="2200"/>
            <w:tcMar>
              <w:top w:w="90" w:type="dxa"/>
              <w:start w:w="120" w:type="dxa"/>
              <w:bottom w:w="90" w:type="dxa"/>
              <w:end w:w="120" w:type="dxa"/>
            </w:tcMar>
            <w:vAlign w:val="center"/>
          </w:tcPr>
          <w:p>
            <w:pPr>
              <w:spacing w:after="0" w:line="252" w:lineRule="auto"/>
            </w:pPr>
            <w:r>
              <w:rPr>
                <w:rFonts w:ascii="Aptos" w:hAnsi="Aptos"/>
                <w:b w:val="0"/>
                <w:i w:val="0"/>
                <w:color w:val="24323D"/>
                <w:sz w:val="18"/>
              </w:rPr>
              <w:t>One to five years</w:t>
            </w:r>
          </w:p>
        </w:tc>
        <w:tc>
          <w:tcPr>
            <w:tcW w:type="dxa" w:w="4860"/>
            <w:tcMar>
              <w:top w:w="90" w:type="dxa"/>
              <w:start w:w="120" w:type="dxa"/>
              <w:bottom w:w="90" w:type="dxa"/>
              <w:end w:w="120" w:type="dxa"/>
            </w:tcMar>
            <w:vAlign w:val="center"/>
          </w:tcPr>
          <w:p>
            <w:pPr>
              <w:spacing w:after="0" w:line="252" w:lineRule="auto"/>
            </w:pPr>
            <w:r>
              <w:rPr>
                <w:rFonts w:ascii="Aptos" w:hAnsi="Aptos"/>
                <w:b w:val="0"/>
                <w:i w:val="0"/>
                <w:color w:val="24323D"/>
                <w:sz w:val="18"/>
              </w:rPr>
              <w:t>A clear date and suitable certainty</w:t>
            </w:r>
          </w:p>
        </w:tc>
      </w:tr>
      <w:tr>
        <w:tc>
          <w:tcPr>
            <w:tcW w:type="dxa" w:w="23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Long-term future</w:t>
            </w:r>
          </w:p>
        </w:tc>
        <w:tc>
          <w:tcPr>
            <w:tcW w:type="dxa" w:w="2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Many years</w:t>
            </w:r>
          </w:p>
        </w:tc>
        <w:tc>
          <w:tcPr>
            <w:tcW w:type="dxa" w:w="48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Growth potential and patience</w:t>
            </w:r>
          </w:p>
        </w:tc>
      </w:tr>
    </w:tbl>
    <w:p>
      <w:pPr>
        <w:spacing w:after="20"/>
      </w:pPr>
    </w:p>
    <w:p>
      <w:pPr>
        <w:widowControl/>
      </w:pPr>
      <w:r>
        <w:rPr>
          <w:rFonts w:ascii="Aptos" w:hAnsi="Aptos"/>
          <w:b w:val="0"/>
          <w:i w:val="0"/>
          <w:color w:val="24323D"/>
          <w:sz w:val="21"/>
        </w:rPr>
        <w:t>This separation can happen through accounts, sub-accounts, labels or simply a written plan. The aim is clarity, not opening unnecessary products.</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Choose the purpose first. The right financial home is easier to evaluate afterward.</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Draw four circles—Living, Safety, Dreams and Future—and place one goal in each.</w:t>
            </w:r>
          </w:p>
        </w:tc>
      </w:tr>
    </w:tbl>
    <w:p>
      <w:pPr>
        <w:spacing w:after="20"/>
      </w:pPr>
    </w:p>
    <w:p>
      <w:r>
        <w:br w:type="page"/>
      </w:r>
    </w:p>
    <w:p>
      <w:pPr>
        <w:pStyle w:val="MVKicker"/>
        <w:widowControl/>
      </w:pPr>
      <w:r>
        <w:rPr>
          <w:rFonts w:ascii="Aptos" w:hAnsi="Aptos"/>
          <w:b w:val="0"/>
          <w:i w:val="0"/>
          <w:color w:val="24323D"/>
          <w:sz w:val="21"/>
        </w:rPr>
        <w:t>CHAPTER 11</w:t>
      </w:r>
    </w:p>
    <w:p>
      <w:pPr>
        <w:pStyle w:val="Title"/>
      </w:pPr>
      <w:r>
        <w:t>Choosing the Right Home for Your Money</w:t>
      </w:r>
    </w:p>
    <w:p>
      <w:pPr>
        <w:pStyle w:val="MVQuote"/>
        <w:widowControl/>
      </w:pPr>
      <w:r>
        <w:rPr>
          <w:rFonts w:ascii="Aptos" w:hAnsi="Aptos"/>
          <w:b w:val="0"/>
          <w:i/>
          <w:color w:val="24323D"/>
          <w:sz w:val="21"/>
        </w:rPr>
        <w:t>“Different products exist because money has different jobs.”</w:t>
      </w:r>
    </w:p>
    <w:p>
      <w:pPr>
        <w:widowControl/>
      </w:pPr>
      <w:r>
        <w:rPr>
          <w:rFonts w:ascii="Aptos" w:hAnsi="Aptos"/>
          <w:b w:val="0"/>
          <w:i w:val="0"/>
          <w:color w:val="24323D"/>
          <w:sz w:val="21"/>
        </w:rPr>
        <w:t>A savings account, FD, government scheme, mutual fund and insurance policy are not competing answers to one question. Each is designed for a different purpose and trade-off.</w:t>
      </w:r>
    </w:p>
    <w:tbl>
      <w:tblPr>
        <w:tblStyle w:val="TableGrid"/>
        <w:tblW w:type="dxa" w:w="9360"/>
        <w:jc w:val="center"/>
        <w:tblLayout w:type="fixed"/>
        <w:tblLook w:firstColumn="1" w:firstRow="1" w:lastColumn="0" w:lastRow="0" w:noHBand="0" w:noVBand="1" w:val="04A0"/>
        <w:tblInd w:w="120" w:type="dxa"/>
      </w:tblPr>
      <w:tblGrid>
        <w:gridCol w:w="2800"/>
        <w:gridCol w:w="6560"/>
      </w:tblGrid>
      <w:tr>
        <w:trPr>
          <w:tblHeader w:val="true"/>
        </w:trPr>
        <w:tc>
          <w:tcPr>
            <w:tcW w:type="dxa" w:w="2800"/>
            <w:tcMar>
              <w:top w:w="90" w:type="dxa"/>
              <w:start w:w="120" w:type="dxa"/>
              <w:bottom w:w="90" w:type="dxa"/>
              <w:end w:w="120" w:type="dxa"/>
            </w:tcMar>
            <w:shd w:fill="24445C"/>
            <w:vAlign w:val="center"/>
          </w:tcPr>
          <w:p>
            <w:pPr>
              <w:spacing w:after="0"/>
            </w:pPr>
            <w:r>
              <w:rPr>
                <w:rFonts w:ascii="Aptos" w:hAnsi="Aptos"/>
                <w:b/>
                <w:i w:val="0"/>
                <w:color w:val="FFFFFF"/>
                <w:sz w:val="18"/>
              </w:rPr>
              <w:t>Question</w:t>
            </w:r>
          </w:p>
        </w:tc>
        <w:tc>
          <w:tcPr>
            <w:tcW w:type="dxa" w:w="6560"/>
            <w:tcMar>
              <w:top w:w="90" w:type="dxa"/>
              <w:start w:w="120" w:type="dxa"/>
              <w:bottom w:w="90" w:type="dxa"/>
              <w:end w:w="120" w:type="dxa"/>
            </w:tcMar>
            <w:shd w:fill="24445C"/>
            <w:vAlign w:val="center"/>
          </w:tcPr>
          <w:p>
            <w:pPr>
              <w:spacing w:after="0"/>
            </w:pPr>
            <w:r>
              <w:rPr>
                <w:rFonts w:ascii="Aptos" w:hAnsi="Aptos"/>
                <w:b/>
                <w:i w:val="0"/>
                <w:color w:val="FFFFFF"/>
                <w:sz w:val="18"/>
              </w:rPr>
              <w:t>Why it matters</w:t>
            </w:r>
          </w:p>
        </w:tc>
      </w:tr>
      <w:tr>
        <w:tc>
          <w:tcPr>
            <w:tcW w:type="dxa" w:w="2800"/>
            <w:tcMar>
              <w:top w:w="90" w:type="dxa"/>
              <w:start w:w="120" w:type="dxa"/>
              <w:bottom w:w="90" w:type="dxa"/>
              <w:end w:w="120" w:type="dxa"/>
            </w:tcMar>
            <w:vAlign w:val="center"/>
          </w:tcPr>
          <w:p>
            <w:pPr>
              <w:spacing w:after="0" w:line="252" w:lineRule="auto"/>
            </w:pPr>
            <w:r>
              <w:rPr>
                <w:rFonts w:ascii="Aptos" w:hAnsi="Aptos"/>
                <w:b w:val="0"/>
                <w:i w:val="0"/>
                <w:color w:val="24323D"/>
                <w:sz w:val="17"/>
              </w:rPr>
              <w:t>When will I need the money?</w:t>
            </w:r>
          </w:p>
        </w:tc>
        <w:tc>
          <w:tcPr>
            <w:tcW w:type="dxa" w:w="6560"/>
            <w:tcMar>
              <w:top w:w="90" w:type="dxa"/>
              <w:start w:w="120" w:type="dxa"/>
              <w:bottom w:w="90" w:type="dxa"/>
              <w:end w:w="120" w:type="dxa"/>
            </w:tcMar>
            <w:vAlign w:val="center"/>
          </w:tcPr>
          <w:p>
            <w:pPr>
              <w:spacing w:after="0" w:line="252" w:lineRule="auto"/>
            </w:pPr>
            <w:r>
              <w:rPr>
                <w:rFonts w:ascii="Aptos" w:hAnsi="Aptos"/>
                <w:b w:val="0"/>
                <w:i w:val="0"/>
                <w:color w:val="24323D"/>
                <w:sz w:val="17"/>
              </w:rPr>
              <w:t>Determines how much lock-in or market movement may be acceptable.</w:t>
            </w:r>
          </w:p>
        </w:tc>
      </w:tr>
      <w:tr>
        <w:tc>
          <w:tcPr>
            <w:tcW w:type="dxa" w:w="2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Must the amount remain stable?</w:t>
            </w:r>
          </w:p>
        </w:tc>
        <w:tc>
          <w:tcPr>
            <w:tcW w:type="dxa" w:w="65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Near-term obligations leave little room for loss.</w:t>
            </w:r>
          </w:p>
        </w:tc>
      </w:tr>
      <w:tr>
        <w:tc>
          <w:tcPr>
            <w:tcW w:type="dxa" w:w="2800"/>
            <w:tcMar>
              <w:top w:w="90" w:type="dxa"/>
              <w:start w:w="120" w:type="dxa"/>
              <w:bottom w:w="90" w:type="dxa"/>
              <w:end w:w="120" w:type="dxa"/>
            </w:tcMar>
            <w:vAlign w:val="center"/>
          </w:tcPr>
          <w:p>
            <w:pPr>
              <w:spacing w:after="0" w:line="252" w:lineRule="auto"/>
            </w:pPr>
            <w:r>
              <w:rPr>
                <w:rFonts w:ascii="Aptos" w:hAnsi="Aptos"/>
                <w:b w:val="0"/>
                <w:i w:val="0"/>
                <w:color w:val="24323D"/>
                <w:sz w:val="17"/>
              </w:rPr>
              <w:t>How quickly must I access it?</w:t>
            </w:r>
          </w:p>
        </w:tc>
        <w:tc>
          <w:tcPr>
            <w:tcW w:type="dxa" w:w="6560"/>
            <w:tcMar>
              <w:top w:w="90" w:type="dxa"/>
              <w:start w:w="120" w:type="dxa"/>
              <w:bottom w:w="90" w:type="dxa"/>
              <w:end w:w="120" w:type="dxa"/>
            </w:tcMar>
            <w:vAlign w:val="center"/>
          </w:tcPr>
          <w:p>
            <w:pPr>
              <w:spacing w:after="0" w:line="252" w:lineRule="auto"/>
            </w:pPr>
            <w:r>
              <w:rPr>
                <w:rFonts w:ascii="Aptos" w:hAnsi="Aptos"/>
                <w:b w:val="0"/>
                <w:i w:val="0"/>
                <w:color w:val="24323D"/>
                <w:sz w:val="17"/>
              </w:rPr>
              <w:t>Emergency and planned money have different liquidity needs.</w:t>
            </w:r>
          </w:p>
        </w:tc>
      </w:tr>
      <w:tr>
        <w:tc>
          <w:tcPr>
            <w:tcW w:type="dxa" w:w="2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What could make me lose money?</w:t>
            </w:r>
          </w:p>
        </w:tc>
        <w:tc>
          <w:tcPr>
            <w:tcW w:type="dxa" w:w="65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Market, credit, inflation, fraud and penalty risks differ.</w:t>
            </w:r>
          </w:p>
        </w:tc>
      </w:tr>
      <w:tr>
        <w:tc>
          <w:tcPr>
            <w:tcW w:type="dxa" w:w="2800"/>
            <w:tcMar>
              <w:top w:w="90" w:type="dxa"/>
              <w:start w:w="120" w:type="dxa"/>
              <w:bottom w:w="90" w:type="dxa"/>
              <w:end w:w="120" w:type="dxa"/>
            </w:tcMar>
            <w:vAlign w:val="center"/>
          </w:tcPr>
          <w:p>
            <w:pPr>
              <w:spacing w:after="0" w:line="252" w:lineRule="auto"/>
            </w:pPr>
            <w:r>
              <w:rPr>
                <w:rFonts w:ascii="Aptos" w:hAnsi="Aptos"/>
                <w:b w:val="0"/>
                <w:i w:val="0"/>
                <w:color w:val="24323D"/>
                <w:sz w:val="17"/>
              </w:rPr>
              <w:t>What will it cost after fees and tax?</w:t>
            </w:r>
          </w:p>
        </w:tc>
        <w:tc>
          <w:tcPr>
            <w:tcW w:type="dxa" w:w="6560"/>
            <w:tcMar>
              <w:top w:w="90" w:type="dxa"/>
              <w:start w:w="120" w:type="dxa"/>
              <w:bottom w:w="90" w:type="dxa"/>
              <w:end w:w="120" w:type="dxa"/>
            </w:tcMar>
            <w:vAlign w:val="center"/>
          </w:tcPr>
          <w:p>
            <w:pPr>
              <w:spacing w:after="0" w:line="252" w:lineRule="auto"/>
            </w:pPr>
            <w:r>
              <w:rPr>
                <w:rFonts w:ascii="Aptos" w:hAnsi="Aptos"/>
                <w:b w:val="0"/>
                <w:i w:val="0"/>
                <w:color w:val="24323D"/>
                <w:sz w:val="17"/>
              </w:rPr>
              <w:t>The headline return is not what you necessarily keep.</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DEPOSIT PROTECTION</w:t>
            </w:r>
          </w:p>
          <w:p>
            <w:pPr>
              <w:spacing w:after="0"/>
            </w:pPr>
            <w:r>
              <w:rPr>
                <w:rFonts w:ascii="Aptos" w:hAnsi="Aptos"/>
                <w:b w:val="0"/>
                <w:i w:val="0"/>
                <w:color w:val="24323D"/>
                <w:sz w:val="20"/>
              </w:rPr>
              <w:t>Eligible deposits at an insured bank are covered by DICGC up to the prevailing limit per depositor per bank under applicable rules. This does not make every deposit choice identical or protect against inflation.</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Do not ask “Which product gives the highest return?” before asking “What must this money do?”</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Choose one account or investment and write its job, date, access rules, risk, cost and nominee.</w:t>
            </w:r>
          </w:p>
        </w:tc>
      </w:tr>
    </w:tbl>
    <w:p>
      <w:pPr>
        <w:spacing w:after="20"/>
      </w:pPr>
    </w:p>
    <w:p>
      <w:r>
        <w:br w:type="page"/>
      </w:r>
    </w:p>
    <w:p>
      <w:pPr>
        <w:pStyle w:val="MVKicker"/>
        <w:widowControl/>
      </w:pPr>
      <w:r>
        <w:rPr>
          <w:rFonts w:ascii="Aptos" w:hAnsi="Aptos"/>
          <w:b w:val="0"/>
          <w:i w:val="0"/>
          <w:color w:val="24323D"/>
          <w:sz w:val="21"/>
        </w:rPr>
        <w:t>CHAPTER 12</w:t>
      </w:r>
    </w:p>
    <w:p>
      <w:pPr>
        <w:pStyle w:val="Title"/>
      </w:pPr>
      <w:r>
        <w:t>Mutual Funds Made Simple</w:t>
      </w:r>
    </w:p>
    <w:p>
      <w:pPr>
        <w:pStyle w:val="MVQuote"/>
        <w:widowControl/>
      </w:pPr>
      <w:r>
        <w:rPr>
          <w:rFonts w:ascii="Aptos" w:hAnsi="Aptos"/>
          <w:b w:val="0"/>
          <w:i/>
          <w:color w:val="24323D"/>
          <w:sz w:val="21"/>
        </w:rPr>
        <w:t>“You do not need to know every fund. You need to understand what the scheme is trying to do.”</w:t>
      </w:r>
    </w:p>
    <w:p>
      <w:pPr>
        <w:widowControl/>
      </w:pPr>
      <w:r>
        <w:rPr>
          <w:rFonts w:ascii="Aptos" w:hAnsi="Aptos"/>
          <w:b w:val="0"/>
          <w:i w:val="0"/>
          <w:color w:val="24323D"/>
          <w:sz w:val="21"/>
        </w:rPr>
        <w:t>A mutual fund pools money from investors and invests it according to a stated objective. An asset management company manages the portfolio; investors own units. Professional management and diversification can help, but neither guarantees profit.</w:t>
      </w:r>
    </w:p>
    <w:tbl>
      <w:tblPr>
        <w:tblStyle w:val="TableGrid"/>
        <w:tblW w:type="dxa" w:w="9360"/>
        <w:jc w:val="center"/>
        <w:tblLayout w:type="fixed"/>
        <w:tblLook w:firstColumn="1" w:firstRow="1" w:lastColumn="0" w:lastRow="0" w:noHBand="0" w:noVBand="1" w:val="04A0"/>
        <w:tblInd w:w="120" w:type="dxa"/>
      </w:tblPr>
      <w:tblGrid>
        <w:gridCol w:w="1800"/>
        <w:gridCol w:w="3800"/>
        <w:gridCol w:w="3760"/>
      </w:tblGrid>
      <w:tr>
        <w:trPr>
          <w:tblHeader w:val="true"/>
        </w:trPr>
        <w:tc>
          <w:tcPr>
            <w:tcW w:type="dxa" w:w="1800"/>
            <w:tcMar>
              <w:top w:w="90" w:type="dxa"/>
              <w:start w:w="120" w:type="dxa"/>
              <w:bottom w:w="90" w:type="dxa"/>
              <w:end w:w="120" w:type="dxa"/>
            </w:tcMar>
            <w:shd w:fill="24445C"/>
            <w:vAlign w:val="center"/>
          </w:tcPr>
          <w:p>
            <w:pPr>
              <w:spacing w:after="0"/>
            </w:pPr>
            <w:r>
              <w:rPr>
                <w:rFonts w:ascii="Aptos" w:hAnsi="Aptos"/>
                <w:b/>
                <w:i w:val="0"/>
                <w:color w:val="FFFFFF"/>
                <w:sz w:val="18"/>
              </w:rPr>
              <w:t>Broad type</w:t>
            </w:r>
          </w:p>
        </w:tc>
        <w:tc>
          <w:tcPr>
            <w:tcW w:type="dxa" w:w="3800"/>
            <w:tcMar>
              <w:top w:w="90" w:type="dxa"/>
              <w:start w:w="120" w:type="dxa"/>
              <w:bottom w:w="90" w:type="dxa"/>
              <w:end w:w="120" w:type="dxa"/>
            </w:tcMar>
            <w:shd w:fill="24445C"/>
            <w:vAlign w:val="center"/>
          </w:tcPr>
          <w:p>
            <w:pPr>
              <w:spacing w:after="0"/>
            </w:pPr>
            <w:r>
              <w:rPr>
                <w:rFonts w:ascii="Aptos" w:hAnsi="Aptos"/>
                <w:b/>
                <w:i w:val="0"/>
                <w:color w:val="FFFFFF"/>
                <w:sz w:val="18"/>
              </w:rPr>
              <w:t>What it mainly holds</w:t>
            </w:r>
          </w:p>
        </w:tc>
        <w:tc>
          <w:tcPr>
            <w:tcW w:type="dxa" w:w="3760"/>
            <w:tcMar>
              <w:top w:w="90" w:type="dxa"/>
              <w:start w:w="120" w:type="dxa"/>
              <w:bottom w:w="90" w:type="dxa"/>
              <w:end w:w="120" w:type="dxa"/>
            </w:tcMar>
            <w:shd w:fill="24445C"/>
            <w:vAlign w:val="center"/>
          </w:tcPr>
          <w:p>
            <w:pPr>
              <w:spacing w:after="0"/>
            </w:pPr>
            <w:r>
              <w:rPr>
                <w:rFonts w:ascii="Aptos" w:hAnsi="Aptos"/>
                <w:b/>
                <w:i w:val="0"/>
                <w:color w:val="FFFFFF"/>
                <w:sz w:val="18"/>
              </w:rPr>
              <w:t>Typical risk idea</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7"/>
              </w:rPr>
              <w:t>Equity</w:t>
            </w:r>
          </w:p>
        </w:tc>
        <w:tc>
          <w:tcPr>
            <w:tcW w:type="dxa" w:w="3800"/>
            <w:tcMar>
              <w:top w:w="90" w:type="dxa"/>
              <w:start w:w="120" w:type="dxa"/>
              <w:bottom w:w="90" w:type="dxa"/>
              <w:end w:w="120" w:type="dxa"/>
            </w:tcMar>
            <w:vAlign w:val="center"/>
          </w:tcPr>
          <w:p>
            <w:pPr>
              <w:spacing w:after="0" w:line="252" w:lineRule="auto"/>
            </w:pPr>
            <w:r>
              <w:rPr>
                <w:rFonts w:ascii="Aptos" w:hAnsi="Aptos"/>
                <w:b w:val="0"/>
                <w:i w:val="0"/>
                <w:color w:val="24323D"/>
                <w:sz w:val="17"/>
              </w:rPr>
              <w:t>Shares of companies</w:t>
            </w:r>
          </w:p>
        </w:tc>
        <w:tc>
          <w:tcPr>
            <w:tcW w:type="dxa" w:w="3760"/>
            <w:tcMar>
              <w:top w:w="90" w:type="dxa"/>
              <w:start w:w="120" w:type="dxa"/>
              <w:bottom w:w="90" w:type="dxa"/>
              <w:end w:w="120" w:type="dxa"/>
            </w:tcMar>
            <w:vAlign w:val="center"/>
          </w:tcPr>
          <w:p>
            <w:pPr>
              <w:spacing w:after="0" w:line="252" w:lineRule="auto"/>
            </w:pPr>
            <w:r>
              <w:rPr>
                <w:rFonts w:ascii="Aptos" w:hAnsi="Aptos"/>
                <w:b w:val="0"/>
                <w:i w:val="0"/>
                <w:color w:val="24323D"/>
                <w:sz w:val="17"/>
              </w:rPr>
              <w:t>Higher short-term movement; used for suitable long horizons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Debt</w:t>
            </w:r>
          </w:p>
        </w:tc>
        <w:tc>
          <w:tcPr>
            <w:tcW w:type="dxa" w:w="3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Fixed-income securities</w:t>
            </w:r>
          </w:p>
        </w:tc>
        <w:tc>
          <w:tcPr>
            <w:tcW w:type="dxa" w:w="37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Credit, interest-rate and liquidity risks remain</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7"/>
              </w:rPr>
              <w:t>Hybrid</w:t>
            </w:r>
          </w:p>
        </w:tc>
        <w:tc>
          <w:tcPr>
            <w:tcW w:type="dxa" w:w="3800"/>
            <w:tcMar>
              <w:top w:w="90" w:type="dxa"/>
              <w:start w:w="120" w:type="dxa"/>
              <w:bottom w:w="90" w:type="dxa"/>
              <w:end w:w="120" w:type="dxa"/>
            </w:tcMar>
            <w:vAlign w:val="center"/>
          </w:tcPr>
          <w:p>
            <w:pPr>
              <w:spacing w:after="0" w:line="252" w:lineRule="auto"/>
            </w:pPr>
            <w:r>
              <w:rPr>
                <w:rFonts w:ascii="Aptos" w:hAnsi="Aptos"/>
                <w:b w:val="0"/>
                <w:i w:val="0"/>
                <w:color w:val="24323D"/>
                <w:sz w:val="17"/>
              </w:rPr>
              <w:t>Mix of equity and debt</w:t>
            </w:r>
          </w:p>
        </w:tc>
        <w:tc>
          <w:tcPr>
            <w:tcW w:type="dxa" w:w="3760"/>
            <w:tcMar>
              <w:top w:w="90" w:type="dxa"/>
              <w:start w:w="120" w:type="dxa"/>
              <w:bottom w:w="90" w:type="dxa"/>
              <w:end w:w="120" w:type="dxa"/>
            </w:tcMar>
            <w:vAlign w:val="center"/>
          </w:tcPr>
          <w:p>
            <w:pPr>
              <w:spacing w:after="0" w:line="252" w:lineRule="auto"/>
            </w:pPr>
            <w:r>
              <w:rPr>
                <w:rFonts w:ascii="Aptos" w:hAnsi="Aptos"/>
                <w:b w:val="0"/>
                <w:i w:val="0"/>
                <w:color w:val="24323D"/>
                <w:sz w:val="17"/>
              </w:rPr>
              <w:t>Risk depends on the actual allocation</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Index</w:t>
            </w:r>
          </w:p>
        </w:tc>
        <w:tc>
          <w:tcPr>
            <w:tcW w:type="dxa" w:w="3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Securities matching a stated index</w:t>
            </w:r>
          </w:p>
        </w:tc>
        <w:tc>
          <w:tcPr>
            <w:tcW w:type="dxa" w:w="37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Shares the index’s rises and falls</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7"/>
              </w:rPr>
              <w:t>Liquid / money market</w:t>
            </w:r>
          </w:p>
        </w:tc>
        <w:tc>
          <w:tcPr>
            <w:tcW w:type="dxa" w:w="3800"/>
            <w:tcMar>
              <w:top w:w="90" w:type="dxa"/>
              <w:start w:w="120" w:type="dxa"/>
              <w:bottom w:w="90" w:type="dxa"/>
              <w:end w:w="120" w:type="dxa"/>
            </w:tcMar>
            <w:vAlign w:val="center"/>
          </w:tcPr>
          <w:p>
            <w:pPr>
              <w:spacing w:after="0" w:line="252" w:lineRule="auto"/>
            </w:pPr>
            <w:r>
              <w:rPr>
                <w:rFonts w:ascii="Aptos" w:hAnsi="Aptos"/>
                <w:b w:val="0"/>
                <w:i w:val="0"/>
                <w:color w:val="24323D"/>
                <w:sz w:val="17"/>
              </w:rPr>
              <w:t>Short-duration instruments</w:t>
            </w:r>
          </w:p>
        </w:tc>
        <w:tc>
          <w:tcPr>
            <w:tcW w:type="dxa" w:w="3760"/>
            <w:tcMar>
              <w:top w:w="90" w:type="dxa"/>
              <w:start w:w="120" w:type="dxa"/>
              <w:bottom w:w="90" w:type="dxa"/>
              <w:end w:w="120" w:type="dxa"/>
            </w:tcMar>
            <w:vAlign w:val="center"/>
          </w:tcPr>
          <w:p>
            <w:pPr>
              <w:spacing w:after="0" w:line="252" w:lineRule="auto"/>
            </w:pPr>
            <w:r>
              <w:rPr>
                <w:rFonts w:ascii="Aptos" w:hAnsi="Aptos"/>
                <w:b w:val="0"/>
                <w:i w:val="0"/>
                <w:color w:val="24323D"/>
                <w:sz w:val="17"/>
              </w:rPr>
              <w:t>Not a bank deposit; small losses are possible</w:t>
            </w:r>
          </w:p>
        </w:tc>
      </w:tr>
    </w:tbl>
    <w:p>
      <w:pPr>
        <w:spacing w:after="20"/>
      </w:pPr>
    </w:p>
    <w:p>
      <w:pPr>
        <w:pStyle w:val="Heading1"/>
      </w:pPr>
      <w:r>
        <w:t>Read before investing</w:t>
      </w:r>
    </w:p>
    <w:p>
      <w:pPr>
        <w:pStyle w:val="ListBullet"/>
        <w:spacing w:after="60"/>
        <w:ind w:left="504" w:hanging="259"/>
      </w:pPr>
      <w:r>
        <w:rPr>
          <w:rFonts w:ascii="Aptos" w:hAnsi="Aptos"/>
          <w:b w:val="0"/>
          <w:i w:val="0"/>
          <w:color w:val="24323D"/>
          <w:sz w:val="20"/>
        </w:rPr>
        <w:t>Scheme objective and portfolio category</w:t>
      </w:r>
    </w:p>
    <w:p>
      <w:pPr>
        <w:pStyle w:val="ListBullet"/>
        <w:spacing w:after="60"/>
        <w:ind w:left="504" w:hanging="259"/>
      </w:pPr>
      <w:r>
        <w:rPr>
          <w:rFonts w:ascii="Aptos" w:hAnsi="Aptos"/>
          <w:b w:val="0"/>
          <w:i w:val="0"/>
          <w:color w:val="24323D"/>
          <w:sz w:val="20"/>
        </w:rPr>
        <w:t>Riskometer and time horizon</w:t>
      </w:r>
    </w:p>
    <w:p>
      <w:pPr>
        <w:pStyle w:val="ListBullet"/>
        <w:spacing w:after="60"/>
        <w:ind w:left="504" w:hanging="259"/>
      </w:pPr>
      <w:r>
        <w:rPr>
          <w:rFonts w:ascii="Aptos" w:hAnsi="Aptos"/>
          <w:b w:val="0"/>
          <w:i w:val="0"/>
          <w:color w:val="24323D"/>
          <w:sz w:val="20"/>
        </w:rPr>
        <w:t>Expense ratio and other costs</w:t>
      </w:r>
    </w:p>
    <w:p>
      <w:pPr>
        <w:pStyle w:val="ListBullet"/>
        <w:spacing w:after="60"/>
        <w:ind w:left="504" w:hanging="259"/>
      </w:pPr>
      <w:r>
        <w:rPr>
          <w:rFonts w:ascii="Aptos" w:hAnsi="Aptos"/>
          <w:b w:val="0"/>
          <w:i w:val="0"/>
          <w:color w:val="24323D"/>
          <w:sz w:val="20"/>
        </w:rPr>
        <w:t>Exit load and redemption process</w:t>
      </w:r>
    </w:p>
    <w:p>
      <w:pPr>
        <w:pStyle w:val="ListBullet"/>
        <w:spacing w:after="60"/>
        <w:ind w:left="504" w:hanging="259"/>
      </w:pPr>
      <w:r>
        <w:rPr>
          <w:rFonts w:ascii="Aptos" w:hAnsi="Aptos"/>
          <w:b w:val="0"/>
          <w:i w:val="0"/>
          <w:color w:val="24323D"/>
          <w:sz w:val="20"/>
        </w:rPr>
        <w:t>Direct versus regular plan</w:t>
      </w:r>
    </w:p>
    <w:p>
      <w:pPr>
        <w:pStyle w:val="ListBullet"/>
        <w:spacing w:after="60"/>
        <w:ind w:left="504" w:hanging="259"/>
      </w:pPr>
      <w:r>
        <w:rPr>
          <w:rFonts w:ascii="Aptos" w:hAnsi="Aptos"/>
          <w:b w:val="0"/>
          <w:i w:val="0"/>
          <w:color w:val="24323D"/>
          <w:sz w:val="20"/>
        </w:rPr>
        <w:t>Growth versus distribution option</w:t>
      </w:r>
    </w:p>
    <w:p>
      <w:pPr>
        <w:pStyle w:val="ListBullet"/>
        <w:spacing w:after="60"/>
        <w:ind w:left="504" w:hanging="259"/>
      </w:pPr>
      <w:r>
        <w:rPr>
          <w:rFonts w:ascii="Aptos" w:hAnsi="Aptos"/>
          <w:b w:val="0"/>
          <w:i w:val="0"/>
          <w:color w:val="24323D"/>
          <w:sz w:val="20"/>
        </w:rPr>
        <w:t>Tax treatment for the current year</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F9ECEB"/>
          </w:tcPr>
          <w:p>
            <w:pPr>
              <w:spacing w:after="80"/>
            </w:pPr>
            <w:r>
              <w:rPr>
                <w:rFonts w:ascii="Aptos" w:hAnsi="Aptos"/>
                <w:b/>
                <w:i w:val="0"/>
                <w:color w:val="9B3A35"/>
                <w:sz w:val="18"/>
              </w:rPr>
              <w:t>RED FLAGS</w:t>
            </w:r>
          </w:p>
          <w:p>
            <w:pPr>
              <w:spacing w:after="0"/>
            </w:pPr>
            <w:r>
              <w:rPr>
                <w:rFonts w:ascii="Aptos" w:hAnsi="Aptos"/>
                <w:b w:val="0"/>
                <w:i w:val="0"/>
                <w:color w:val="24323D"/>
                <w:sz w:val="20"/>
              </w:rPr>
              <w:t>A fund is sold as guaranteed, “best,” risk-free or certain to repeat last year’s return; the seller ignores the riskometer or asks you to invest before you understand.</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A suitable fund is one that supports a goal at a risk you can understand and live with.</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Read one scheme’s official objective and riskometer. Do not invest today—just translate them into plain language.</w:t>
            </w:r>
          </w:p>
        </w:tc>
      </w:tr>
    </w:tbl>
    <w:p>
      <w:pPr>
        <w:spacing w:after="20"/>
      </w:pPr>
    </w:p>
    <w:p>
      <w:r>
        <w:br w:type="page"/>
      </w:r>
    </w:p>
    <w:p>
      <w:pPr>
        <w:pStyle w:val="MVKicker"/>
        <w:widowControl/>
      </w:pPr>
      <w:r>
        <w:rPr>
          <w:rFonts w:ascii="Aptos" w:hAnsi="Aptos"/>
          <w:b w:val="0"/>
          <w:i w:val="0"/>
          <w:color w:val="24323D"/>
          <w:sz w:val="21"/>
        </w:rPr>
        <w:t>CHAPTER 13</w:t>
      </w:r>
    </w:p>
    <w:p>
      <w:pPr>
        <w:pStyle w:val="Title"/>
      </w:pPr>
      <w:r>
        <w:t>SIPs: Small Steps, Extraordinary Journeys</w:t>
      </w:r>
    </w:p>
    <w:p>
      <w:pPr>
        <w:pStyle w:val="MVQuote"/>
        <w:widowControl/>
      </w:pPr>
      <w:r>
        <w:rPr>
          <w:rFonts w:ascii="Aptos" w:hAnsi="Aptos"/>
          <w:b w:val="0"/>
          <w:i/>
          <w:color w:val="24323D"/>
          <w:sz w:val="21"/>
        </w:rPr>
        <w:t>“A SIP is a method, not an investment and not a guarantee.”</w:t>
      </w:r>
    </w:p>
    <w:p>
      <w:pPr>
        <w:widowControl/>
      </w:pPr>
      <w:r>
        <w:rPr>
          <w:rFonts w:ascii="Aptos" w:hAnsi="Aptos"/>
          <w:b w:val="0"/>
          <w:i w:val="0"/>
          <w:color w:val="24323D"/>
          <w:sz w:val="21"/>
        </w:rPr>
        <w:t>A Systematic Investment Plan invests a chosen amount into a selected mutual-fund scheme at regular intervals. The scheme creates the risk and return; the SIP creates the schedule.</w:t>
      </w:r>
    </w:p>
    <w:p>
      <w:pPr>
        <w:pStyle w:val="Heading1"/>
      </w:pPr>
      <w:r>
        <w:t>What a SIP can and cannot do</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4680"/>
            <w:tcMar>
              <w:top w:w="90" w:type="dxa"/>
              <w:start w:w="120" w:type="dxa"/>
              <w:bottom w:w="90" w:type="dxa"/>
              <w:end w:w="120" w:type="dxa"/>
            </w:tcMar>
            <w:shd w:fill="24445C"/>
            <w:vAlign w:val="center"/>
          </w:tcPr>
          <w:p>
            <w:pPr>
              <w:spacing w:after="0"/>
            </w:pPr>
            <w:r>
              <w:rPr>
                <w:rFonts w:ascii="Aptos" w:hAnsi="Aptos"/>
                <w:b/>
                <w:i w:val="0"/>
                <w:color w:val="FFFFFF"/>
                <w:sz w:val="18"/>
              </w:rPr>
              <w:t>It can…</w:t>
            </w:r>
          </w:p>
        </w:tc>
        <w:tc>
          <w:tcPr>
            <w:tcW w:type="dxa" w:w="4680"/>
            <w:tcMar>
              <w:top w:w="90" w:type="dxa"/>
              <w:start w:w="120" w:type="dxa"/>
              <w:bottom w:w="90" w:type="dxa"/>
              <w:end w:w="120" w:type="dxa"/>
            </w:tcMar>
            <w:shd w:fill="24445C"/>
            <w:vAlign w:val="center"/>
          </w:tcPr>
          <w:p>
            <w:pPr>
              <w:spacing w:after="0"/>
            </w:pPr>
            <w:r>
              <w:rPr>
                <w:rFonts w:ascii="Aptos" w:hAnsi="Aptos"/>
                <w:b/>
                <w:i w:val="0"/>
                <w:color w:val="FFFFFF"/>
                <w:sz w:val="18"/>
              </w:rPr>
              <w:t>It cannot…</w:t>
            </w:r>
          </w:p>
        </w:tc>
      </w:tr>
      <w:tr>
        <w:tc>
          <w:tcPr>
            <w:tcW w:type="dxa" w:w="4680"/>
            <w:tcMar>
              <w:top w:w="90" w:type="dxa"/>
              <w:start w:w="120" w:type="dxa"/>
              <w:bottom w:w="90" w:type="dxa"/>
              <w:end w:w="120" w:type="dxa"/>
            </w:tcMar>
            <w:vAlign w:val="center"/>
          </w:tcPr>
          <w:p>
            <w:pPr>
              <w:spacing w:after="0" w:line="252" w:lineRule="auto"/>
            </w:pPr>
            <w:r>
              <w:rPr>
                <w:rFonts w:ascii="Aptos" w:hAnsi="Aptos"/>
                <w:b w:val="0"/>
                <w:i w:val="0"/>
                <w:color w:val="24323D"/>
                <w:sz w:val="18"/>
              </w:rPr>
              <w:t>Build a regular investing habit</w:t>
            </w:r>
          </w:p>
        </w:tc>
        <w:tc>
          <w:tcPr>
            <w:tcW w:type="dxa" w:w="4680"/>
            <w:tcMar>
              <w:top w:w="90" w:type="dxa"/>
              <w:start w:w="120" w:type="dxa"/>
              <w:bottom w:w="90" w:type="dxa"/>
              <w:end w:w="120" w:type="dxa"/>
            </w:tcMar>
            <w:vAlign w:val="center"/>
          </w:tcPr>
          <w:p>
            <w:pPr>
              <w:spacing w:after="0" w:line="252" w:lineRule="auto"/>
            </w:pPr>
            <w:r>
              <w:rPr>
                <w:rFonts w:ascii="Aptos" w:hAnsi="Aptos"/>
                <w:b w:val="0"/>
                <w:i w:val="0"/>
                <w:color w:val="24323D"/>
                <w:sz w:val="18"/>
              </w:rPr>
              <w:t>Guarantee profit</w:t>
            </w:r>
          </w:p>
        </w:tc>
      </w:tr>
      <w:tr>
        <w:tc>
          <w:tcPr>
            <w:tcW w:type="dxa" w:w="468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Reduce the pressure to choose one perfect date</w:t>
            </w:r>
          </w:p>
        </w:tc>
        <w:tc>
          <w:tcPr>
            <w:tcW w:type="dxa" w:w="468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Make an unsuitable fund suitable</w:t>
            </w:r>
          </w:p>
        </w:tc>
      </w:tr>
      <w:tr>
        <w:tc>
          <w:tcPr>
            <w:tcW w:type="dxa" w:w="4680"/>
            <w:tcMar>
              <w:top w:w="90" w:type="dxa"/>
              <w:start w:w="120" w:type="dxa"/>
              <w:bottom w:w="90" w:type="dxa"/>
              <w:end w:w="120" w:type="dxa"/>
            </w:tcMar>
            <w:vAlign w:val="center"/>
          </w:tcPr>
          <w:p>
            <w:pPr>
              <w:spacing w:after="0" w:line="252" w:lineRule="auto"/>
            </w:pPr>
            <w:r>
              <w:rPr>
                <w:rFonts w:ascii="Aptos" w:hAnsi="Aptos"/>
                <w:b w:val="0"/>
                <w:i w:val="0"/>
                <w:color w:val="24323D"/>
                <w:sz w:val="18"/>
              </w:rPr>
              <w:t>Buy more units when prices are lower and fewer when higher</w:t>
            </w:r>
          </w:p>
        </w:tc>
        <w:tc>
          <w:tcPr>
            <w:tcW w:type="dxa" w:w="4680"/>
            <w:tcMar>
              <w:top w:w="90" w:type="dxa"/>
              <w:start w:w="120" w:type="dxa"/>
              <w:bottom w:w="90" w:type="dxa"/>
              <w:end w:w="120" w:type="dxa"/>
            </w:tcMar>
            <w:vAlign w:val="center"/>
          </w:tcPr>
          <w:p>
            <w:pPr>
              <w:spacing w:after="0" w:line="252" w:lineRule="auto"/>
            </w:pPr>
            <w:r>
              <w:rPr>
                <w:rFonts w:ascii="Aptos" w:hAnsi="Aptos"/>
                <w:b w:val="0"/>
                <w:i w:val="0"/>
                <w:color w:val="24323D"/>
                <w:sz w:val="18"/>
              </w:rPr>
              <w:t>Remove market risk</w:t>
            </w:r>
          </w:p>
        </w:tc>
      </w:tr>
      <w:tr>
        <w:tc>
          <w:tcPr>
            <w:tcW w:type="dxa" w:w="468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Be reviewed and increased as circumstances improve</w:t>
            </w:r>
          </w:p>
        </w:tc>
        <w:tc>
          <w:tcPr>
            <w:tcW w:type="dxa" w:w="468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Replace an emergency fund</w:t>
            </w:r>
          </w:p>
        </w:tc>
      </w:tr>
    </w:tbl>
    <w:p>
      <w:pPr>
        <w:spacing w:after="20"/>
      </w:pPr>
    </w:p>
    <w:p>
      <w:pPr>
        <w:widowControl/>
      </w:pPr>
      <w:r>
        <w:rPr>
          <w:rFonts w:ascii="Aptos" w:hAnsi="Aptos"/>
          <w:b w:val="0"/>
          <w:i w:val="0"/>
          <w:color w:val="24323D"/>
          <w:sz w:val="21"/>
        </w:rPr>
        <w:t>Choose an amount that can continue through ordinary months. Missing or pausing a SIP is not moral failure; it is a signal to review cash flow, the goal and whether the commitment remains realistic.</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BEFORE STARTING</w:t>
            </w:r>
          </w:p>
          <w:p>
            <w:pPr>
              <w:spacing w:after="0"/>
            </w:pPr>
            <w:r>
              <w:rPr>
                <w:rFonts w:ascii="Aptos" w:hAnsi="Aptos"/>
                <w:b w:val="0"/>
                <w:i w:val="0"/>
                <w:color w:val="24323D"/>
                <w:sz w:val="20"/>
              </w:rPr>
              <w:t>Confirm the goal, horizon, emergency reserve, scheme, riskometer, costs, bank mandate and nomination. A convenient auto-debit is still a financial decision.</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Long-term wealth is usually built through ordinary decisions repeated—not dramatic predictions.</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Calculate what a small monthly amount becomes in one year without assuming any investment return.</w:t>
            </w:r>
          </w:p>
        </w:tc>
      </w:tr>
    </w:tbl>
    <w:p>
      <w:pPr>
        <w:spacing w:after="20"/>
      </w:pPr>
    </w:p>
    <w:p>
      <w:r>
        <w:br w:type="page"/>
      </w:r>
    </w:p>
    <w:p>
      <w:pPr>
        <w:pStyle w:val="MVKicker"/>
        <w:widowControl/>
      </w:pPr>
      <w:r>
        <w:rPr>
          <w:rFonts w:ascii="Aptos" w:hAnsi="Aptos"/>
          <w:b w:val="0"/>
          <w:i w:val="0"/>
          <w:color w:val="24323D"/>
          <w:sz w:val="21"/>
        </w:rPr>
        <w:t>CHAPTER 14</w:t>
      </w:r>
    </w:p>
    <w:p>
      <w:pPr>
        <w:pStyle w:val="Title"/>
      </w:pPr>
      <w:r>
        <w:t>Protecting What You’ve Built</w:t>
      </w:r>
    </w:p>
    <w:p>
      <w:pPr>
        <w:pStyle w:val="MVQuote"/>
        <w:widowControl/>
      </w:pPr>
      <w:r>
        <w:rPr>
          <w:rFonts w:ascii="Aptos" w:hAnsi="Aptos"/>
          <w:b w:val="0"/>
          <w:i/>
          <w:color w:val="24323D"/>
          <w:sz w:val="21"/>
        </w:rPr>
        <w:t>“Protection keeps one difficult event from undoing years of careful work.”</w:t>
      </w:r>
    </w:p>
    <w:p>
      <w:pPr>
        <w:widowControl/>
      </w:pPr>
      <w:r>
        <w:rPr>
          <w:rFonts w:ascii="Aptos" w:hAnsi="Aptos"/>
          <w:b w:val="0"/>
          <w:i w:val="0"/>
          <w:color w:val="24323D"/>
          <w:sz w:val="21"/>
        </w:rPr>
        <w:t>Financial protection rests on several pillars: emergency savings, health cover, life or accident cover where appropriate, and documents your family can locate.</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tcMar>
              <w:top w:w="90" w:type="dxa"/>
              <w:start w:w="120" w:type="dxa"/>
              <w:bottom w:w="90" w:type="dxa"/>
              <w:end w:w="120" w:type="dxa"/>
            </w:tcMar>
            <w:shd w:fill="24445C"/>
            <w:vAlign w:val="center"/>
          </w:tcPr>
          <w:p>
            <w:pPr>
              <w:spacing w:after="0"/>
            </w:pPr>
            <w:r>
              <w:rPr>
                <w:rFonts w:ascii="Aptos" w:hAnsi="Aptos"/>
                <w:b/>
                <w:i w:val="0"/>
                <w:color w:val="FFFFFF"/>
                <w:sz w:val="18"/>
              </w:rPr>
              <w:t>Pillar</w:t>
            </w:r>
          </w:p>
        </w:tc>
        <w:tc>
          <w:tcPr>
            <w:tcW w:type="dxa" w:w="6760"/>
            <w:tcMar>
              <w:top w:w="90" w:type="dxa"/>
              <w:start w:w="120" w:type="dxa"/>
              <w:bottom w:w="90" w:type="dxa"/>
              <w:end w:w="120" w:type="dxa"/>
            </w:tcMar>
            <w:shd w:fill="24445C"/>
            <w:vAlign w:val="center"/>
          </w:tcPr>
          <w:p>
            <w:pPr>
              <w:spacing w:after="0"/>
            </w:pPr>
            <w:r>
              <w:rPr>
                <w:rFonts w:ascii="Aptos" w:hAnsi="Aptos"/>
                <w:b/>
                <w:i w:val="0"/>
                <w:color w:val="FFFFFF"/>
                <w:sz w:val="18"/>
              </w:rPr>
              <w:t>Question to ask</w:t>
            </w:r>
          </w:p>
        </w:tc>
      </w:tr>
      <w:tr>
        <w:tc>
          <w:tcPr>
            <w:tcW w:type="dxa" w:w="2600"/>
            <w:tcMar>
              <w:top w:w="90" w:type="dxa"/>
              <w:start w:w="120" w:type="dxa"/>
              <w:bottom w:w="90" w:type="dxa"/>
              <w:end w:w="120" w:type="dxa"/>
            </w:tcMar>
            <w:vAlign w:val="center"/>
          </w:tcPr>
          <w:p>
            <w:pPr>
              <w:spacing w:after="0" w:line="252" w:lineRule="auto"/>
            </w:pPr>
            <w:r>
              <w:rPr>
                <w:rFonts w:ascii="Aptos" w:hAnsi="Aptos"/>
                <w:b w:val="0"/>
                <w:i w:val="0"/>
                <w:color w:val="24323D"/>
                <w:sz w:val="17"/>
              </w:rPr>
              <w:t>Emergency fund</w:t>
            </w:r>
          </w:p>
        </w:tc>
        <w:tc>
          <w:tcPr>
            <w:tcW w:type="dxa" w:w="6760"/>
            <w:tcMar>
              <w:top w:w="90" w:type="dxa"/>
              <w:start w:w="120" w:type="dxa"/>
              <w:bottom w:w="90" w:type="dxa"/>
              <w:end w:w="120" w:type="dxa"/>
            </w:tcMar>
            <w:vAlign w:val="center"/>
          </w:tcPr>
          <w:p>
            <w:pPr>
              <w:spacing w:after="0" w:line="252" w:lineRule="auto"/>
            </w:pPr>
            <w:r>
              <w:rPr>
                <w:rFonts w:ascii="Aptos" w:hAnsi="Aptos"/>
                <w:b w:val="0"/>
                <w:i w:val="0"/>
                <w:color w:val="24323D"/>
                <w:sz w:val="17"/>
              </w:rPr>
              <w:t>Can we manage a disruption without immediate debt?</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Health insurance</w:t>
            </w:r>
          </w:p>
        </w:tc>
        <w:tc>
          <w:tcPr>
            <w:tcW w:type="dxa" w:w="67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What is covered, excluded, limited or subject to waiting?</w:t>
            </w:r>
          </w:p>
        </w:tc>
      </w:tr>
      <w:tr>
        <w:tc>
          <w:tcPr>
            <w:tcW w:type="dxa" w:w="2600"/>
            <w:tcMar>
              <w:top w:w="90" w:type="dxa"/>
              <w:start w:w="120" w:type="dxa"/>
              <w:bottom w:w="90" w:type="dxa"/>
              <w:end w:w="120" w:type="dxa"/>
            </w:tcMar>
            <w:vAlign w:val="center"/>
          </w:tcPr>
          <w:p>
            <w:pPr>
              <w:spacing w:after="0" w:line="252" w:lineRule="auto"/>
            </w:pPr>
            <w:r>
              <w:rPr>
                <w:rFonts w:ascii="Aptos" w:hAnsi="Aptos"/>
                <w:b w:val="0"/>
                <w:i w:val="0"/>
                <w:color w:val="24323D"/>
                <w:sz w:val="17"/>
              </w:rPr>
              <w:t>Life insurance</w:t>
            </w:r>
          </w:p>
        </w:tc>
        <w:tc>
          <w:tcPr>
            <w:tcW w:type="dxa" w:w="6760"/>
            <w:tcMar>
              <w:top w:w="90" w:type="dxa"/>
              <w:start w:w="120" w:type="dxa"/>
              <w:bottom w:w="90" w:type="dxa"/>
              <w:end w:w="120" w:type="dxa"/>
            </w:tcMar>
            <w:vAlign w:val="center"/>
          </w:tcPr>
          <w:p>
            <w:pPr>
              <w:spacing w:after="0" w:line="252" w:lineRule="auto"/>
            </w:pPr>
            <w:r>
              <w:rPr>
                <w:rFonts w:ascii="Aptos" w:hAnsi="Aptos"/>
                <w:b w:val="0"/>
                <w:i w:val="0"/>
                <w:color w:val="24323D"/>
                <w:sz w:val="17"/>
              </w:rPr>
              <w:t>Who depends financially on this person’s income or unpaid work?</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Accident / disability protection</w:t>
            </w:r>
          </w:p>
        </w:tc>
        <w:tc>
          <w:tcPr>
            <w:tcW w:type="dxa" w:w="67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What happens if work or caregiving ability changes?</w:t>
            </w:r>
          </w:p>
        </w:tc>
      </w:tr>
      <w:tr>
        <w:tc>
          <w:tcPr>
            <w:tcW w:type="dxa" w:w="2600"/>
            <w:tcMar>
              <w:top w:w="90" w:type="dxa"/>
              <w:start w:w="120" w:type="dxa"/>
              <w:bottom w:w="90" w:type="dxa"/>
              <w:end w:w="120" w:type="dxa"/>
            </w:tcMar>
            <w:vAlign w:val="center"/>
          </w:tcPr>
          <w:p>
            <w:pPr>
              <w:spacing w:after="0" w:line="252" w:lineRule="auto"/>
            </w:pPr>
            <w:r>
              <w:rPr>
                <w:rFonts w:ascii="Aptos" w:hAnsi="Aptos"/>
                <w:b w:val="0"/>
                <w:i w:val="0"/>
                <w:color w:val="24323D"/>
                <w:sz w:val="17"/>
              </w:rPr>
              <w:t>Documents and nominations</w:t>
            </w:r>
          </w:p>
        </w:tc>
        <w:tc>
          <w:tcPr>
            <w:tcW w:type="dxa" w:w="6760"/>
            <w:tcMar>
              <w:top w:w="90" w:type="dxa"/>
              <w:start w:w="120" w:type="dxa"/>
              <w:bottom w:w="90" w:type="dxa"/>
              <w:end w:w="120" w:type="dxa"/>
            </w:tcMar>
            <w:vAlign w:val="center"/>
          </w:tcPr>
          <w:p>
            <w:pPr>
              <w:spacing w:after="0" w:line="252" w:lineRule="auto"/>
            </w:pPr>
            <w:r>
              <w:rPr>
                <w:rFonts w:ascii="Aptos" w:hAnsi="Aptos"/>
                <w:b w:val="0"/>
                <w:i w:val="0"/>
                <w:color w:val="24323D"/>
                <w:sz w:val="17"/>
              </w:rPr>
              <w:t>Can a trusted adult locate the facts during a crisis?</w:t>
            </w:r>
          </w:p>
        </w:tc>
      </w:tr>
    </w:tbl>
    <w:p>
      <w:pPr>
        <w:spacing w:after="20"/>
      </w:pPr>
    </w:p>
    <w:p>
      <w:pPr>
        <w:widowControl/>
      </w:pPr>
      <w:r>
        <w:rPr>
          <w:rFonts w:ascii="Aptos" w:hAnsi="Aptos"/>
          <w:b w:val="0"/>
          <w:i w:val="0"/>
          <w:color w:val="24323D"/>
          <w:sz w:val="21"/>
        </w:rPr>
        <w:t>Insurance is primarily a risk-transfer contract. Investment and insurance may be combined in some products, but that can make cost, surrender and return comparisons harder. Read the policy schedule, exclusions and benefit illustration.</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FAMILY FINANCIAL FOLDER</w:t>
            </w:r>
          </w:p>
          <w:p>
            <w:pPr>
              <w:spacing w:after="0"/>
            </w:pPr>
            <w:r>
              <w:rPr>
                <w:rFonts w:ascii="Aptos" w:hAnsi="Aptos"/>
                <w:b w:val="0"/>
                <w:i w:val="0"/>
                <w:color w:val="24323D"/>
                <w:sz w:val="20"/>
              </w:rPr>
              <w:t>Keep institution names, policy/account numbers, nominees, contacts and document locations. Do not store passwords, PINs, OTPs or CVVs in an ordinary folder.</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Protection is not expecting the worst. It is reducing the financial burden if the unexpected arrives.</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Locate one insurance schedule and write its cover, exclusions, renewal date, nominee and claim contact.</w:t>
            </w:r>
          </w:p>
        </w:tc>
      </w:tr>
    </w:tbl>
    <w:p>
      <w:pPr>
        <w:spacing w:after="20"/>
      </w:pPr>
    </w:p>
    <w:p>
      <w:r>
        <w:br w:type="page"/>
      </w:r>
    </w:p>
    <w:p>
      <w:pPr>
        <w:pStyle w:val="MVKicker"/>
        <w:widowControl/>
      </w:pPr>
      <w:r>
        <w:rPr>
          <w:rFonts w:ascii="Aptos" w:hAnsi="Aptos"/>
          <w:b w:val="0"/>
          <w:i w:val="0"/>
          <w:color w:val="24323D"/>
          <w:sz w:val="21"/>
        </w:rPr>
        <w:t>CHAPTER 15</w:t>
      </w:r>
    </w:p>
    <w:p>
      <w:pPr>
        <w:pStyle w:val="Title"/>
      </w:pPr>
      <w:r>
        <w:t>Creating Your Family Financial Plan</w:t>
      </w:r>
    </w:p>
    <w:p>
      <w:pPr>
        <w:pStyle w:val="MVQuote"/>
        <w:widowControl/>
      </w:pPr>
      <w:r>
        <w:rPr>
          <w:rFonts w:ascii="Aptos" w:hAnsi="Aptos"/>
          <w:b w:val="0"/>
          <w:i/>
          <w:color w:val="24323D"/>
          <w:sz w:val="21"/>
        </w:rPr>
        <w:t>“A plan gives money direction—and gives the family a place to return when life changes.”</w:t>
      </w:r>
    </w:p>
    <w:p>
      <w:pPr>
        <w:widowControl/>
      </w:pPr>
      <w:r>
        <w:rPr>
          <w:rFonts w:ascii="Aptos" w:hAnsi="Aptos"/>
          <w:b w:val="0"/>
          <w:i w:val="0"/>
          <w:color w:val="24323D"/>
          <w:sz w:val="21"/>
        </w:rPr>
        <w:t>A financial plan answers three questions: Where are we today? Where do we want to go? What is the next realistic step?</w:t>
      </w:r>
    </w:p>
    <w:p>
      <w:pPr>
        <w:pStyle w:val="Heading1"/>
      </w:pPr>
      <w:r>
        <w:t>Build the plan in order</w:t>
      </w:r>
    </w:p>
    <w:tbl>
      <w:tblPr>
        <w:tblStyle w:val="TableGrid"/>
        <w:tblW w:type="dxa" w:w="9360"/>
        <w:jc w:val="center"/>
        <w:tblLayout w:type="fixed"/>
        <w:tblLook w:firstColumn="1" w:firstRow="1" w:lastColumn="0" w:lastRow="0" w:noHBand="0" w:noVBand="1" w:val="04A0"/>
        <w:tblInd w:w="120" w:type="dxa"/>
      </w:tblPr>
      <w:tblGrid>
        <w:gridCol w:w="1500"/>
        <w:gridCol w:w="7860"/>
      </w:tblGrid>
      <w:tr>
        <w:trPr>
          <w:tblHeader w:val="true"/>
        </w:trPr>
        <w:tc>
          <w:tcPr>
            <w:tcW w:type="dxa" w:w="1500"/>
            <w:tcMar>
              <w:top w:w="90" w:type="dxa"/>
              <w:start w:w="120" w:type="dxa"/>
              <w:bottom w:w="90" w:type="dxa"/>
              <w:end w:w="120" w:type="dxa"/>
            </w:tcMar>
            <w:shd w:fill="24445C"/>
            <w:vAlign w:val="center"/>
          </w:tcPr>
          <w:p>
            <w:pPr>
              <w:spacing w:after="0"/>
            </w:pPr>
            <w:r>
              <w:rPr>
                <w:rFonts w:ascii="Aptos" w:hAnsi="Aptos"/>
                <w:b/>
                <w:i w:val="0"/>
                <w:color w:val="FFFFFF"/>
                <w:sz w:val="18"/>
              </w:rPr>
              <w:t>Step</w:t>
            </w:r>
          </w:p>
        </w:tc>
        <w:tc>
          <w:tcPr>
            <w:tcW w:type="dxa" w:w="7860"/>
            <w:tcMar>
              <w:top w:w="90" w:type="dxa"/>
              <w:start w:w="120" w:type="dxa"/>
              <w:bottom w:w="90" w:type="dxa"/>
              <w:end w:w="120" w:type="dxa"/>
            </w:tcMar>
            <w:shd w:fill="24445C"/>
            <w:vAlign w:val="center"/>
          </w:tcPr>
          <w:p>
            <w:pPr>
              <w:spacing w:after="0"/>
            </w:pPr>
            <w:r>
              <w:rPr>
                <w:rFonts w:ascii="Aptos" w:hAnsi="Aptos"/>
                <w:b/>
                <w:i w:val="0"/>
                <w:color w:val="FFFFFF"/>
                <w:sz w:val="18"/>
              </w:rPr>
              <w:t>Action</w:t>
            </w:r>
          </w:p>
        </w:tc>
      </w:tr>
      <w:tr>
        <w:tc>
          <w:tcPr>
            <w:tcW w:type="dxa" w:w="1500"/>
            <w:tcMar>
              <w:top w:w="90" w:type="dxa"/>
              <w:start w:w="120" w:type="dxa"/>
              <w:bottom w:w="90" w:type="dxa"/>
              <w:end w:w="120" w:type="dxa"/>
            </w:tcMar>
            <w:vAlign w:val="center"/>
          </w:tcPr>
          <w:p>
            <w:pPr>
              <w:spacing w:after="0" w:line="252" w:lineRule="auto"/>
            </w:pPr>
            <w:r>
              <w:rPr>
                <w:rFonts w:ascii="Aptos" w:hAnsi="Aptos"/>
                <w:b w:val="0"/>
                <w:i w:val="0"/>
                <w:color w:val="24323D"/>
                <w:sz w:val="18"/>
              </w:rPr>
              <w:t>1. See</w:t>
            </w:r>
          </w:p>
        </w:tc>
        <w:tc>
          <w:tcPr>
            <w:tcW w:type="dxa" w:w="7860"/>
            <w:tcMar>
              <w:top w:w="90" w:type="dxa"/>
              <w:start w:w="120" w:type="dxa"/>
              <w:bottom w:w="90" w:type="dxa"/>
              <w:end w:w="120" w:type="dxa"/>
            </w:tcMar>
            <w:vAlign w:val="center"/>
          </w:tcPr>
          <w:p>
            <w:pPr>
              <w:spacing w:after="0" w:line="252" w:lineRule="auto"/>
            </w:pPr>
            <w:r>
              <w:rPr>
                <w:rFonts w:ascii="Aptos" w:hAnsi="Aptos"/>
                <w:b w:val="0"/>
                <w:i w:val="0"/>
                <w:color w:val="24323D"/>
                <w:sz w:val="18"/>
              </w:rPr>
              <w:t>List income, expenses, assets, debts and existing protection.</w:t>
            </w:r>
          </w:p>
        </w:tc>
      </w:tr>
      <w:tr>
        <w:tc>
          <w:tcPr>
            <w:tcW w:type="dxa" w:w="1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2. Protect</w:t>
            </w:r>
          </w:p>
        </w:tc>
        <w:tc>
          <w:tcPr>
            <w:tcW w:type="dxa" w:w="78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Build accessible emergency money and review insurance.</w:t>
            </w:r>
          </w:p>
        </w:tc>
      </w:tr>
      <w:tr>
        <w:tc>
          <w:tcPr>
            <w:tcW w:type="dxa" w:w="1500"/>
            <w:tcMar>
              <w:top w:w="90" w:type="dxa"/>
              <w:start w:w="120" w:type="dxa"/>
              <w:bottom w:w="90" w:type="dxa"/>
              <w:end w:w="120" w:type="dxa"/>
            </w:tcMar>
            <w:vAlign w:val="center"/>
          </w:tcPr>
          <w:p>
            <w:pPr>
              <w:spacing w:after="0" w:line="252" w:lineRule="auto"/>
            </w:pPr>
            <w:r>
              <w:rPr>
                <w:rFonts w:ascii="Aptos" w:hAnsi="Aptos"/>
                <w:b w:val="0"/>
                <w:i w:val="0"/>
                <w:color w:val="24323D"/>
                <w:sz w:val="18"/>
              </w:rPr>
              <w:t>3. Name goals</w:t>
            </w:r>
          </w:p>
        </w:tc>
        <w:tc>
          <w:tcPr>
            <w:tcW w:type="dxa" w:w="7860"/>
            <w:tcMar>
              <w:top w:w="90" w:type="dxa"/>
              <w:start w:w="120" w:type="dxa"/>
              <w:bottom w:w="90" w:type="dxa"/>
              <w:end w:w="120" w:type="dxa"/>
            </w:tcMar>
            <w:vAlign w:val="center"/>
          </w:tcPr>
          <w:p>
            <w:pPr>
              <w:spacing w:after="0" w:line="252" w:lineRule="auto"/>
            </w:pPr>
            <w:r>
              <w:rPr>
                <w:rFonts w:ascii="Aptos" w:hAnsi="Aptos"/>
                <w:b w:val="0"/>
                <w:i w:val="0"/>
                <w:color w:val="24323D"/>
                <w:sz w:val="18"/>
              </w:rPr>
              <w:t>Write the amount, date and reason for each goal.</w:t>
            </w:r>
          </w:p>
        </w:tc>
      </w:tr>
      <w:tr>
        <w:tc>
          <w:tcPr>
            <w:tcW w:type="dxa" w:w="1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4. Match tools</w:t>
            </w:r>
          </w:p>
        </w:tc>
        <w:tc>
          <w:tcPr>
            <w:tcW w:type="dxa" w:w="78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Select products only after purpose, horizon and risk are clear.</w:t>
            </w:r>
          </w:p>
        </w:tc>
      </w:tr>
      <w:tr>
        <w:tc>
          <w:tcPr>
            <w:tcW w:type="dxa" w:w="1500"/>
            <w:tcMar>
              <w:top w:w="90" w:type="dxa"/>
              <w:start w:w="120" w:type="dxa"/>
              <w:bottom w:w="90" w:type="dxa"/>
              <w:end w:w="120" w:type="dxa"/>
            </w:tcMar>
            <w:vAlign w:val="center"/>
          </w:tcPr>
          <w:p>
            <w:pPr>
              <w:spacing w:after="0" w:line="252" w:lineRule="auto"/>
            </w:pPr>
            <w:r>
              <w:rPr>
                <w:rFonts w:ascii="Aptos" w:hAnsi="Aptos"/>
                <w:b w:val="0"/>
                <w:i w:val="0"/>
                <w:color w:val="24323D"/>
                <w:sz w:val="18"/>
              </w:rPr>
              <w:t>5. Review</w:t>
            </w:r>
          </w:p>
        </w:tc>
        <w:tc>
          <w:tcPr>
            <w:tcW w:type="dxa" w:w="7860"/>
            <w:tcMar>
              <w:top w:w="90" w:type="dxa"/>
              <w:start w:w="120" w:type="dxa"/>
              <w:bottom w:w="90" w:type="dxa"/>
              <w:end w:w="120" w:type="dxa"/>
            </w:tcMar>
            <w:vAlign w:val="center"/>
          </w:tcPr>
          <w:p>
            <w:pPr>
              <w:spacing w:after="0" w:line="252" w:lineRule="auto"/>
            </w:pPr>
            <w:r>
              <w:rPr>
                <w:rFonts w:ascii="Aptos" w:hAnsi="Aptos"/>
                <w:b w:val="0"/>
                <w:i w:val="0"/>
                <w:color w:val="24323D"/>
                <w:sz w:val="18"/>
              </w:rPr>
              <w:t>Return annually and after major life changes.</w:t>
            </w:r>
          </w:p>
        </w:tc>
      </w:tr>
    </w:tbl>
    <w:p>
      <w:pPr>
        <w:spacing w:after="20"/>
      </w:pPr>
    </w:p>
    <w:p>
      <w:pPr>
        <w:pStyle w:val="Heading1"/>
      </w:pPr>
      <w:r>
        <w:t>Your one-page start</w:t>
      </w:r>
    </w:p>
    <w:tbl>
      <w:tblPr>
        <w:tblStyle w:val="TableGrid"/>
        <w:tblW w:type="dxa" w:w="9360"/>
        <w:jc w:val="center"/>
        <w:tblLayout w:type="fixed"/>
        <w:tblLook w:firstColumn="1" w:firstRow="1" w:lastColumn="0" w:lastRow="0" w:noHBand="0" w:noVBand="1" w:val="04A0"/>
        <w:tblInd w:w="120" w:type="dxa"/>
      </w:tblPr>
      <w:tblGrid>
        <w:gridCol w:w="4300"/>
        <w:gridCol w:w="1900"/>
        <w:gridCol w:w="3160"/>
      </w:tblGrid>
      <w:tr>
        <w:trPr>
          <w:tblHeader w:val="true"/>
        </w:trPr>
        <w:tc>
          <w:tcPr>
            <w:tcW w:type="dxa" w:w="4300"/>
            <w:tcMar>
              <w:top w:w="90" w:type="dxa"/>
              <w:start w:w="120" w:type="dxa"/>
              <w:bottom w:w="90" w:type="dxa"/>
              <w:end w:w="120" w:type="dxa"/>
            </w:tcMar>
            <w:shd w:fill="24445C"/>
            <w:vAlign w:val="center"/>
          </w:tcPr>
          <w:p>
            <w:pPr>
              <w:spacing w:after="0"/>
            </w:pPr>
            <w:r>
              <w:rPr>
                <w:rFonts w:ascii="Aptos" w:hAnsi="Aptos"/>
                <w:b/>
                <w:i w:val="0"/>
                <w:color w:val="FFFFFF"/>
                <w:sz w:val="18"/>
              </w:rPr>
              <w:t>My top three goals</w:t>
            </w:r>
          </w:p>
        </w:tc>
        <w:tc>
          <w:tcPr>
            <w:tcW w:type="dxa" w:w="1900"/>
            <w:tcMar>
              <w:top w:w="90" w:type="dxa"/>
              <w:start w:w="120" w:type="dxa"/>
              <w:bottom w:w="90" w:type="dxa"/>
              <w:end w:w="120" w:type="dxa"/>
            </w:tcMar>
            <w:shd w:fill="24445C"/>
            <w:vAlign w:val="center"/>
          </w:tcPr>
          <w:p>
            <w:pPr>
              <w:spacing w:after="0"/>
            </w:pPr>
            <w:r>
              <w:rPr>
                <w:rFonts w:ascii="Aptos" w:hAnsi="Aptos"/>
                <w:b/>
                <w:i w:val="0"/>
                <w:color w:val="FFFFFF"/>
                <w:sz w:val="18"/>
              </w:rPr>
              <w:t>Target date</w:t>
            </w:r>
          </w:p>
        </w:tc>
        <w:tc>
          <w:tcPr>
            <w:tcW w:type="dxa" w:w="3160"/>
            <w:tcMar>
              <w:top w:w="90" w:type="dxa"/>
              <w:start w:w="120" w:type="dxa"/>
              <w:bottom w:w="90" w:type="dxa"/>
              <w:end w:w="120" w:type="dxa"/>
            </w:tcMar>
            <w:shd w:fill="24445C"/>
            <w:vAlign w:val="center"/>
          </w:tcPr>
          <w:p>
            <w:pPr>
              <w:spacing w:after="0"/>
            </w:pPr>
            <w:r>
              <w:rPr>
                <w:rFonts w:ascii="Aptos" w:hAnsi="Aptos"/>
                <w:b/>
                <w:i w:val="0"/>
                <w:color w:val="FFFFFF"/>
                <w:sz w:val="18"/>
              </w:rPr>
              <w:t>Next small action</w:t>
            </w:r>
          </w:p>
        </w:tc>
      </w:tr>
      <w:tr>
        <w:tc>
          <w:tcPr>
            <w:tcW w:type="dxa" w:w="4300"/>
            <w:tcMar>
              <w:top w:w="90" w:type="dxa"/>
              <w:start w:w="120" w:type="dxa"/>
              <w:bottom w:w="90" w:type="dxa"/>
              <w:end w:w="120" w:type="dxa"/>
            </w:tcMar>
            <w:vAlign w:val="center"/>
          </w:tcPr>
          <w:p>
            <w:pPr>
              <w:spacing w:after="0" w:line="252" w:lineRule="auto"/>
            </w:pPr>
            <w:r>
              <w:rPr>
                <w:rFonts w:ascii="Aptos" w:hAnsi="Aptos"/>
                <w:b w:val="0"/>
                <w:i w:val="0"/>
                <w:color w:val="24323D"/>
                <w:sz w:val="18"/>
              </w:rPr>
              <w:t>1.</w:t>
            </w:r>
          </w:p>
        </w:tc>
        <w:tc>
          <w:tcPr>
            <w:tcW w:type="dxa" w:w="1900"/>
            <w:tcMar>
              <w:top w:w="90" w:type="dxa"/>
              <w:start w:w="120" w:type="dxa"/>
              <w:bottom w:w="90" w:type="dxa"/>
              <w:end w:w="120" w:type="dxa"/>
            </w:tcMar>
            <w:vAlign w:val="center"/>
          </w:tcPr>
          <w:p>
            <w:pPr>
              <w:spacing w:after="0" w:line="252" w:lineRule="auto"/>
            </w:pPr>
            <w:r>
              <w:rPr>
                <w:rFonts w:ascii="Aptos" w:hAnsi="Aptos"/>
                <w:b w:val="0"/>
                <w:i w:val="0"/>
                <w:color w:val="24323D"/>
                <w:sz w:val="18"/>
              </w:rPr>
            </w:r>
          </w:p>
        </w:tc>
        <w:tc>
          <w:tcPr>
            <w:tcW w:type="dxa" w:w="3160"/>
            <w:tcMar>
              <w:top w:w="90" w:type="dxa"/>
              <w:start w:w="120" w:type="dxa"/>
              <w:bottom w:w="90" w:type="dxa"/>
              <w:end w:w="120" w:type="dxa"/>
            </w:tcMar>
            <w:vAlign w:val="center"/>
          </w:tcPr>
          <w:p>
            <w:pPr>
              <w:spacing w:after="0" w:line="252" w:lineRule="auto"/>
            </w:pPr>
            <w:r>
              <w:rPr>
                <w:rFonts w:ascii="Aptos" w:hAnsi="Aptos"/>
                <w:b w:val="0"/>
                <w:i w:val="0"/>
                <w:color w:val="24323D"/>
                <w:sz w:val="18"/>
              </w:rPr>
            </w:r>
          </w:p>
        </w:tc>
      </w:tr>
      <w:tr>
        <w:tc>
          <w:tcPr>
            <w:tcW w:type="dxa" w:w="43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2.</w:t>
            </w:r>
          </w:p>
        </w:tc>
        <w:tc>
          <w:tcPr>
            <w:tcW w:type="dxa" w:w="1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r>
          </w:p>
        </w:tc>
        <w:tc>
          <w:tcPr>
            <w:tcW w:type="dxa" w:w="3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r>
          </w:p>
        </w:tc>
      </w:tr>
      <w:tr>
        <w:tc>
          <w:tcPr>
            <w:tcW w:type="dxa" w:w="4300"/>
            <w:tcMar>
              <w:top w:w="90" w:type="dxa"/>
              <w:start w:w="120" w:type="dxa"/>
              <w:bottom w:w="90" w:type="dxa"/>
              <w:end w:w="120" w:type="dxa"/>
            </w:tcMar>
            <w:vAlign w:val="center"/>
          </w:tcPr>
          <w:p>
            <w:pPr>
              <w:spacing w:after="0" w:line="252" w:lineRule="auto"/>
            </w:pPr>
            <w:r>
              <w:rPr>
                <w:rFonts w:ascii="Aptos" w:hAnsi="Aptos"/>
                <w:b w:val="0"/>
                <w:i w:val="0"/>
                <w:color w:val="24323D"/>
                <w:sz w:val="18"/>
              </w:rPr>
              <w:t>3.</w:t>
            </w:r>
          </w:p>
        </w:tc>
        <w:tc>
          <w:tcPr>
            <w:tcW w:type="dxa" w:w="1900"/>
            <w:tcMar>
              <w:top w:w="90" w:type="dxa"/>
              <w:start w:w="120" w:type="dxa"/>
              <w:bottom w:w="90" w:type="dxa"/>
              <w:end w:w="120" w:type="dxa"/>
            </w:tcMar>
            <w:vAlign w:val="center"/>
          </w:tcPr>
          <w:p>
            <w:pPr>
              <w:spacing w:after="0" w:line="252" w:lineRule="auto"/>
            </w:pPr>
            <w:r>
              <w:rPr>
                <w:rFonts w:ascii="Aptos" w:hAnsi="Aptos"/>
                <w:b w:val="0"/>
                <w:i w:val="0"/>
                <w:color w:val="24323D"/>
                <w:sz w:val="18"/>
              </w:rPr>
            </w:r>
          </w:p>
        </w:tc>
        <w:tc>
          <w:tcPr>
            <w:tcW w:type="dxa" w:w="3160"/>
            <w:tcMar>
              <w:top w:w="90" w:type="dxa"/>
              <w:start w:w="120" w:type="dxa"/>
              <w:bottom w:w="90" w:type="dxa"/>
              <w:end w:w="120" w:type="dxa"/>
            </w:tcMar>
            <w:vAlign w:val="center"/>
          </w:tcPr>
          <w:p>
            <w:pPr>
              <w:spacing w:after="0" w:line="252" w:lineRule="auto"/>
            </w:pPr>
            <w:r>
              <w:rPr>
                <w:rFonts w:ascii="Aptos" w:hAnsi="Aptos"/>
                <w:b w:val="0"/>
                <w:i w:val="0"/>
                <w:color w:val="24323D"/>
                <w:sz w:val="18"/>
              </w:rPr>
            </w:r>
          </w:p>
        </w:tc>
      </w:tr>
    </w:tbl>
    <w:p>
      <w:pPr>
        <w:spacing w:after="20"/>
      </w:pPr>
    </w:p>
    <w:p>
      <w:pPr>
        <w:widowControl/>
      </w:pPr>
      <w:r>
        <w:rPr>
          <w:rFonts w:ascii="Aptos" w:hAnsi="Aptos"/>
          <w:b w:val="0"/>
          <w:i w:val="0"/>
          <w:color w:val="24323D"/>
          <w:sz w:val="21"/>
        </w:rPr>
        <w:t>A plan is not a prediction. Income, children, careers, health and priorities change. A good plan changes with them without losing sight of the foundation.</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Financial confidence is not having more than everyone else. It is knowing what your money is helping your family build.</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Choose a Family Financial Review Day and put it in your calendar.</w:t>
            </w:r>
          </w:p>
        </w:tc>
      </w:tr>
    </w:tbl>
    <w:p>
      <w:pPr>
        <w:spacing w:after="20"/>
      </w:pPr>
    </w:p>
    <w:p>
      <w:r>
        <w:br w:type="page"/>
      </w:r>
    </w:p>
    <w:p>
      <w:pPr>
        <w:pStyle w:val="MVKicker"/>
        <w:keepNext/>
        <w:widowControl/>
      </w:pPr>
      <w:r>
        <w:rPr>
          <w:rFonts w:ascii="Aptos" w:hAnsi="Aptos"/>
          <w:b w:val="0"/>
          <w:i w:val="0"/>
          <w:color w:val="24323D"/>
          <w:sz w:val="21"/>
        </w:rPr>
        <w:t>CHAPTER 16</w:t>
      </w:r>
    </w:p>
    <w:p>
      <w:pPr>
        <w:pStyle w:val="Title"/>
        <w:keepNext/>
        <w:widowControl/>
      </w:pPr>
      <w:r>
        <w:t>Understanding Financial Products</w:t>
      </w:r>
    </w:p>
    <w:p>
      <w:pPr>
        <w:pStyle w:val="MVQuote"/>
        <w:widowControl/>
      </w:pPr>
      <w:r>
        <w:rPr>
          <w:rFonts w:ascii="Aptos" w:hAnsi="Aptos"/>
          <w:b w:val="0"/>
          <w:i/>
          <w:color w:val="24323D"/>
          <w:sz w:val="21"/>
        </w:rPr>
        <w:t>“A product is useful only when its job matches your goal.”</w:t>
      </w:r>
    </w:p>
    <w:p>
      <w:pPr>
        <w:widowControl/>
      </w:pPr>
      <w:r>
        <w:rPr>
          <w:rFonts w:ascii="Aptos" w:hAnsi="Aptos"/>
          <w:b w:val="0"/>
          <w:i w:val="0"/>
          <w:color w:val="24323D"/>
          <w:sz w:val="21"/>
        </w:rPr>
        <w:t>Meera had done something many families find difficult: she had saved ₹2,00,000. Then the advice began. One relative said “FD.” A colleague said “mutual fund.” A video said “gold.” Her bank mentioned insurance. The more options she heard, the less confident she felt.</w:t>
      </w:r>
    </w:p>
    <w:p>
      <w:pPr>
        <w:widowControl/>
      </w:pPr>
      <w:r>
        <w:rPr>
          <w:rFonts w:ascii="Aptos" w:hAnsi="Aptos"/>
          <w:b w:val="0"/>
          <w:i w:val="0"/>
          <w:color w:val="24323D"/>
          <w:sz w:val="21"/>
        </w:rPr>
        <w:t>Over tea, an older friend asked her four questions: When will you need the money? Must the amount remain stable? How quickly might you need access? What loss could you tolerate without panic? Meera did not receive a product recommendation that afternoon. She received something better—a way to think.</w:t>
      </w:r>
    </w:p>
    <w:p>
      <w:pPr>
        <w:pStyle w:val="Heading1"/>
        <w:keepNext/>
        <w:widowControl/>
      </w:pPr>
      <w:r>
        <w:t>Start with the job, not the product</w:t>
      </w:r>
    </w:p>
    <w:p>
      <w:pPr>
        <w:widowControl/>
      </w:pPr>
      <w:r>
        <w:rPr>
          <w:rFonts w:ascii="Aptos" w:hAnsi="Aptos"/>
          <w:b w:val="0"/>
          <w:i w:val="0"/>
          <w:color w:val="24323D"/>
          <w:sz w:val="21"/>
        </w:rPr>
        <w:t>Every product makes a different trade-off among four things: safety of capital, access to money, potential growth and certainty of outcome. No product can maximise all four at once. If somebody claims otherwise, pause.</w:t>
      </w:r>
    </w:p>
    <w:tbl>
      <w:tblPr>
        <w:tblStyle w:val="TableGrid"/>
        <w:tblW w:type="dxa" w:w="9648"/>
        <w:jc w:val="center"/>
        <w:tblLayout w:type="fixed"/>
        <w:tblLook w:firstColumn="1" w:firstRow="1" w:lastColumn="0" w:lastRow="0" w:noHBand="0" w:noVBand="1" w:val="04A0"/>
      </w:tblPr>
      <w:tblGrid>
        <w:gridCol w:w="2500"/>
        <w:gridCol w:w="7148"/>
      </w:tblGrid>
      <w:tr>
        <w:trPr>
          <w:tblHeader w:val="true"/>
        </w:trPr>
        <w:tc>
          <w:tcPr>
            <w:tcW w:type="dxa" w:w="2500"/>
            <w:shd w:fill="24445C"/>
            <w:tcMar>
              <w:top w:w="90" w:type="dxa"/>
              <w:start w:w="120" w:type="dxa"/>
              <w:bottom w:w="90" w:type="dxa"/>
              <w:end w:w="120" w:type="dxa"/>
            </w:tcMar>
            <w:vAlign w:val="center"/>
          </w:tcPr>
          <w:p>
            <w:pPr>
              <w:spacing w:after="0"/>
            </w:pPr>
            <w:r>
              <w:rPr>
                <w:rFonts w:ascii="Aptos" w:hAnsi="Aptos"/>
                <w:b/>
                <w:i w:val="0"/>
                <w:color w:val="FFFFFF"/>
                <w:sz w:val="18"/>
              </w:rPr>
              <w:t>Question</w:t>
            </w:r>
          </w:p>
        </w:tc>
        <w:tc>
          <w:tcPr>
            <w:tcW w:type="dxa" w:w="7148"/>
            <w:shd w:fill="24445C"/>
            <w:tcMar>
              <w:top w:w="90" w:type="dxa"/>
              <w:start w:w="120" w:type="dxa"/>
              <w:bottom w:w="90" w:type="dxa"/>
              <w:end w:w="120" w:type="dxa"/>
            </w:tcMar>
            <w:vAlign w:val="center"/>
          </w:tcPr>
          <w:p>
            <w:pPr>
              <w:spacing w:after="0"/>
            </w:pPr>
            <w:r>
              <w:rPr>
                <w:rFonts w:ascii="Aptos" w:hAnsi="Aptos"/>
                <w:b/>
                <w:i w:val="0"/>
                <w:color w:val="FFFFFF"/>
                <w:sz w:val="18"/>
              </w:rPr>
              <w:t>Why it matters</w:t>
            </w:r>
          </w:p>
        </w:tc>
      </w:tr>
      <w:tr>
        <w:tc>
          <w:tcPr>
            <w:tcW w:type="dxa" w:w="2500"/>
            <w:tcMar>
              <w:top w:w="90" w:type="dxa"/>
              <w:start w:w="120" w:type="dxa"/>
              <w:bottom w:w="90" w:type="dxa"/>
              <w:end w:w="120" w:type="dxa"/>
            </w:tcMar>
            <w:vAlign w:val="center"/>
          </w:tcPr>
          <w:p>
            <w:pPr>
              <w:spacing w:after="0" w:line="252" w:lineRule="auto"/>
            </w:pPr>
            <w:r>
              <w:rPr>
                <w:rFonts w:ascii="Aptos" w:hAnsi="Aptos"/>
                <w:b w:val="0"/>
                <w:i w:val="0"/>
                <w:color w:val="24323D"/>
                <w:sz w:val="17"/>
              </w:rPr>
              <w:t>What is the money for?</w:t>
            </w:r>
          </w:p>
        </w:tc>
        <w:tc>
          <w:tcPr>
            <w:tcW w:type="dxa" w:w="7148"/>
            <w:tcMar>
              <w:top w:w="90" w:type="dxa"/>
              <w:start w:w="120" w:type="dxa"/>
              <w:bottom w:w="90" w:type="dxa"/>
              <w:end w:w="120" w:type="dxa"/>
            </w:tcMar>
            <w:vAlign w:val="center"/>
          </w:tcPr>
          <w:p>
            <w:pPr>
              <w:spacing w:after="0" w:line="252" w:lineRule="auto"/>
            </w:pPr>
            <w:r>
              <w:rPr>
                <w:rFonts w:ascii="Aptos" w:hAnsi="Aptos"/>
                <w:b w:val="0"/>
                <w:i w:val="0"/>
                <w:color w:val="24323D"/>
                <w:sz w:val="17"/>
              </w:rPr>
              <w:t>A school fee due next year has a different job from retirement money needed in twenty years.</w:t>
            </w:r>
          </w:p>
        </w:tc>
      </w:tr>
      <w:tr>
        <w:tc>
          <w:tcPr>
            <w:tcW w:type="dxa" w:w="2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When will I need it?</w:t>
            </w:r>
          </w:p>
        </w:tc>
        <w:tc>
          <w:tcPr>
            <w:tcW w:type="dxa" w:w="7148"/>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A shorter time horizon usually leaves less room to recover from market falls.</w:t>
            </w:r>
          </w:p>
        </w:tc>
      </w:tr>
      <w:tr>
        <w:tc>
          <w:tcPr>
            <w:tcW w:type="dxa" w:w="2500"/>
            <w:tcMar>
              <w:top w:w="90" w:type="dxa"/>
              <w:start w:w="120" w:type="dxa"/>
              <w:bottom w:w="90" w:type="dxa"/>
              <w:end w:w="120" w:type="dxa"/>
            </w:tcMar>
            <w:vAlign w:val="center"/>
          </w:tcPr>
          <w:p>
            <w:pPr>
              <w:spacing w:after="0" w:line="252" w:lineRule="auto"/>
            </w:pPr>
            <w:r>
              <w:rPr>
                <w:rFonts w:ascii="Aptos" w:hAnsi="Aptos"/>
                <w:b w:val="0"/>
                <w:i w:val="0"/>
                <w:color w:val="24323D"/>
                <w:sz w:val="17"/>
              </w:rPr>
              <w:t>How quickly must I access it?</w:t>
            </w:r>
          </w:p>
        </w:tc>
        <w:tc>
          <w:tcPr>
            <w:tcW w:type="dxa" w:w="7148"/>
            <w:tcMar>
              <w:top w:w="90" w:type="dxa"/>
              <w:start w:w="120" w:type="dxa"/>
              <w:bottom w:w="90" w:type="dxa"/>
              <w:end w:w="120" w:type="dxa"/>
            </w:tcMar>
            <w:vAlign w:val="center"/>
          </w:tcPr>
          <w:p>
            <w:pPr>
              <w:spacing w:after="0" w:line="252" w:lineRule="auto"/>
            </w:pPr>
            <w:r>
              <w:rPr>
                <w:rFonts w:ascii="Aptos" w:hAnsi="Aptos"/>
                <w:b w:val="0"/>
                <w:i w:val="0"/>
                <w:color w:val="24323D"/>
                <w:sz w:val="17"/>
              </w:rPr>
              <w:t>Liquidity matters for emergencies; a lock-in may be acceptable for a distant goal.</w:t>
            </w:r>
          </w:p>
        </w:tc>
      </w:tr>
      <w:tr>
        <w:tc>
          <w:tcPr>
            <w:tcW w:type="dxa" w:w="2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How much uncertainty can I accept?</w:t>
            </w:r>
          </w:p>
        </w:tc>
        <w:tc>
          <w:tcPr>
            <w:tcW w:type="dxa" w:w="7148"/>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Market-linked products can fall. “High return with no risk” is a warning, not a benefit.</w:t>
            </w:r>
          </w:p>
        </w:tc>
      </w:tr>
      <w:tr>
        <w:tc>
          <w:tcPr>
            <w:tcW w:type="dxa" w:w="2500"/>
            <w:tcMar>
              <w:top w:w="90" w:type="dxa"/>
              <w:start w:w="120" w:type="dxa"/>
              <w:bottom w:w="90" w:type="dxa"/>
              <w:end w:w="120" w:type="dxa"/>
            </w:tcMar>
            <w:vAlign w:val="center"/>
          </w:tcPr>
          <w:p>
            <w:pPr>
              <w:spacing w:after="0" w:line="252" w:lineRule="auto"/>
            </w:pPr>
            <w:r>
              <w:rPr>
                <w:rFonts w:ascii="Aptos" w:hAnsi="Aptos"/>
                <w:b w:val="0"/>
                <w:i w:val="0"/>
                <w:color w:val="24323D"/>
                <w:sz w:val="17"/>
              </w:rPr>
              <w:t>What will it cost and how is it taxed?</w:t>
            </w:r>
          </w:p>
        </w:tc>
        <w:tc>
          <w:tcPr>
            <w:tcW w:type="dxa" w:w="7148"/>
            <w:tcMar>
              <w:top w:w="90" w:type="dxa"/>
              <w:start w:w="120" w:type="dxa"/>
              <w:bottom w:w="90" w:type="dxa"/>
              <w:end w:w="120" w:type="dxa"/>
            </w:tcMar>
            <w:vAlign w:val="center"/>
          </w:tcPr>
          <w:p>
            <w:pPr>
              <w:spacing w:after="0" w:line="252" w:lineRule="auto"/>
            </w:pPr>
            <w:r>
              <w:rPr>
                <w:rFonts w:ascii="Aptos" w:hAnsi="Aptos"/>
                <w:b w:val="0"/>
                <w:i w:val="0"/>
                <w:color w:val="24323D"/>
                <w:sz w:val="17"/>
              </w:rPr>
              <w:t>Fees, penalties and taxes affect what you actually keep.</w:t>
            </w:r>
          </w:p>
        </w:tc>
      </w:tr>
    </w:tbl>
    <w:p>
      <w:pPr>
        <w:widowControl/>
        <w:spacing w:after="20"/>
      </w:pPr>
    </w:p>
    <w:p>
      <w:pPr>
        <w:pStyle w:val="Heading1"/>
        <w:keepNext/>
        <w:widowControl/>
      </w:pPr>
      <w:r>
        <w:t>The product families</w:t>
      </w:r>
    </w:p>
    <w:p>
      <w:pPr>
        <w:pStyle w:val="Heading2"/>
        <w:keepNext/>
        <w:widowControl/>
      </w:pPr>
      <w:r>
        <w:t>1. Bank deposits: stability and access</w:t>
      </w:r>
    </w:p>
    <w:p>
      <w:pPr>
        <w:widowControl/>
      </w:pPr>
      <w:r>
        <w:rPr>
          <w:rFonts w:ascii="Aptos" w:hAnsi="Aptos"/>
          <w:b w:val="0"/>
          <w:i w:val="0"/>
          <w:color w:val="24323D"/>
          <w:sz w:val="21"/>
        </w:rPr>
        <w:t>A savings account is designed for transactions and money you may need quickly. A fixed deposit (FD) holds a lump sum for a chosen term at an agreed rate, while a recurring deposit (RD) accepts regular deposits for a chosen term. These are deposits, not market investments.</w:t>
      </w:r>
    </w:p>
    <w:p>
      <w:pPr>
        <w:widowControl/>
      </w:pPr>
      <w:r>
        <w:rPr>
          <w:rFonts w:ascii="Aptos" w:hAnsi="Aptos"/>
          <w:b w:val="0"/>
          <w:i w:val="0"/>
          <w:color w:val="24323D"/>
          <w:sz w:val="21"/>
        </w:rPr>
        <w:t>Eligible deposits—including savings, fixed and recurring deposits—at an insured bank are covered by DICGC up to ₹5 lakh per depositor per bank, combining principal and interest and accounts held in the same right and capacity. Different branches of the same bank are aggregated; different banks receive separate limits.</w:t>
      </w:r>
    </w:p>
    <w:p>
      <w:pPr>
        <w:pStyle w:val="MVSource"/>
        <w:widowControl/>
      </w:pPr>
      <w:r>
        <w:rPr>
          <w:rFonts w:ascii="Aptos" w:hAnsi="Aptos"/>
          <w:b w:val="0"/>
          <w:i w:val="0"/>
          <w:color w:val="24323D"/>
          <w:sz w:val="21"/>
        </w:rPr>
        <w:t>Fact basis: Deposit Insurance and Credit Guarantee Corporation (DICGC) FAQs, checked 22 July 2026.</w:t>
      </w:r>
    </w:p>
    <w:tbl>
      <w:tblPr>
        <w:tblStyle w:val="TableGrid"/>
        <w:tblW w:type="dxa" w:w="9648"/>
        <w:jc w:val="center"/>
        <w:tblLayout w:type="fixed"/>
        <w:tblLook w:firstColumn="1" w:firstRow="1" w:lastColumn="0" w:lastRow="0" w:noHBand="0" w:noVBand="1" w:val="04A0"/>
      </w:tblPr>
      <w:tblGrid>
        <w:gridCol w:w="1600"/>
        <w:gridCol w:w="2450"/>
        <w:gridCol w:w="1800"/>
        <w:gridCol w:w="3798"/>
      </w:tblGrid>
      <w:tr>
        <w:trPr>
          <w:tblHeader w:val="true"/>
        </w:trPr>
        <w:tc>
          <w:tcPr>
            <w:tcW w:type="dxa" w:w="1600"/>
            <w:shd w:fill="24445C"/>
            <w:tcMar>
              <w:top w:w="90" w:type="dxa"/>
              <w:start w:w="120" w:type="dxa"/>
              <w:bottom w:w="90" w:type="dxa"/>
              <w:end w:w="120" w:type="dxa"/>
            </w:tcMar>
            <w:vAlign w:val="center"/>
          </w:tcPr>
          <w:p>
            <w:pPr>
              <w:spacing w:after="0"/>
            </w:pPr>
            <w:r>
              <w:rPr>
                <w:rFonts w:ascii="Aptos" w:hAnsi="Aptos"/>
                <w:b/>
                <w:i w:val="0"/>
                <w:color w:val="FFFFFF"/>
                <w:sz w:val="18"/>
              </w:rPr>
              <w:t>Product</w:t>
            </w:r>
          </w:p>
        </w:tc>
        <w:tc>
          <w:tcPr>
            <w:tcW w:type="dxa" w:w="2450"/>
            <w:shd w:fill="24445C"/>
            <w:tcMar>
              <w:top w:w="90" w:type="dxa"/>
              <w:start w:w="120" w:type="dxa"/>
              <w:bottom w:w="90" w:type="dxa"/>
              <w:end w:w="120" w:type="dxa"/>
            </w:tcMar>
            <w:vAlign w:val="center"/>
          </w:tcPr>
          <w:p>
            <w:pPr>
              <w:spacing w:after="0"/>
            </w:pPr>
            <w:r>
              <w:rPr>
                <w:rFonts w:ascii="Aptos" w:hAnsi="Aptos"/>
                <w:b/>
                <w:i w:val="0"/>
                <w:color w:val="FFFFFF"/>
                <w:sz w:val="18"/>
              </w:rPr>
              <w:t>Useful for</w:t>
            </w:r>
          </w:p>
        </w:tc>
        <w:tc>
          <w:tcPr>
            <w:tcW w:type="dxa" w:w="1800"/>
            <w:shd w:fill="24445C"/>
            <w:tcMar>
              <w:top w:w="90" w:type="dxa"/>
              <w:start w:w="120" w:type="dxa"/>
              <w:bottom w:w="90" w:type="dxa"/>
              <w:end w:w="120" w:type="dxa"/>
            </w:tcMar>
            <w:vAlign w:val="center"/>
          </w:tcPr>
          <w:p>
            <w:pPr>
              <w:spacing w:after="0"/>
            </w:pPr>
            <w:r>
              <w:rPr>
                <w:rFonts w:ascii="Aptos" w:hAnsi="Aptos"/>
                <w:b/>
                <w:i w:val="0"/>
                <w:color w:val="FFFFFF"/>
                <w:sz w:val="18"/>
              </w:rPr>
              <w:t>Access / term</w:t>
            </w:r>
          </w:p>
        </w:tc>
        <w:tc>
          <w:tcPr>
            <w:tcW w:type="dxa" w:w="3798"/>
            <w:shd w:fill="24445C"/>
            <w:tcMar>
              <w:top w:w="90" w:type="dxa"/>
              <w:start w:w="120" w:type="dxa"/>
              <w:bottom w:w="90" w:type="dxa"/>
              <w:end w:w="120" w:type="dxa"/>
            </w:tcMar>
            <w:vAlign w:val="center"/>
          </w:tcPr>
          <w:p>
            <w:pPr>
              <w:spacing w:after="0"/>
            </w:pPr>
            <w:r>
              <w:rPr>
                <w:rFonts w:ascii="Aptos" w:hAnsi="Aptos"/>
                <w:b/>
                <w:i w:val="0"/>
                <w:color w:val="FFFFFF"/>
                <w:sz w:val="18"/>
              </w:rPr>
              <w:t>Main limitations</w:t>
            </w:r>
          </w:p>
        </w:tc>
      </w:tr>
      <w:tr>
        <w:tc>
          <w:tcPr>
            <w:tcW w:type="dxa" w:w="1600"/>
            <w:tcMar>
              <w:top w:w="90" w:type="dxa"/>
              <w:start w:w="120" w:type="dxa"/>
              <w:bottom w:w="90" w:type="dxa"/>
              <w:end w:w="120" w:type="dxa"/>
            </w:tcMar>
            <w:vAlign w:val="center"/>
          </w:tcPr>
          <w:p>
            <w:pPr>
              <w:spacing w:after="0" w:line="252" w:lineRule="auto"/>
            </w:pPr>
            <w:r>
              <w:rPr>
                <w:rFonts w:ascii="Aptos" w:hAnsi="Aptos"/>
                <w:b w:val="0"/>
                <w:i w:val="0"/>
                <w:color w:val="24323D"/>
                <w:sz w:val="17"/>
              </w:rPr>
              <w:t>Savings account</w:t>
            </w:r>
          </w:p>
        </w:tc>
        <w:tc>
          <w:tcPr>
            <w:tcW w:type="dxa" w:w="2450"/>
            <w:tcMar>
              <w:top w:w="90" w:type="dxa"/>
              <w:start w:w="120" w:type="dxa"/>
              <w:bottom w:w="90" w:type="dxa"/>
              <w:end w:w="120" w:type="dxa"/>
            </w:tcMar>
            <w:vAlign w:val="center"/>
          </w:tcPr>
          <w:p>
            <w:pPr>
              <w:spacing w:after="0" w:line="252" w:lineRule="auto"/>
            </w:pPr>
            <w:r>
              <w:rPr>
                <w:rFonts w:ascii="Aptos" w:hAnsi="Aptos"/>
                <w:b w:val="0"/>
                <w:i w:val="0"/>
                <w:color w:val="24323D"/>
                <w:sz w:val="17"/>
              </w:rPr>
              <w:t>Bills, near-term needs, part of emergency cash</w:t>
            </w:r>
          </w:p>
        </w:tc>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7"/>
              </w:rPr>
              <w:t>Usually immediate</w:t>
            </w:r>
          </w:p>
        </w:tc>
        <w:tc>
          <w:tcPr>
            <w:tcW w:type="dxa" w:w="3798"/>
            <w:tcMar>
              <w:top w:w="90" w:type="dxa"/>
              <w:start w:w="120" w:type="dxa"/>
              <w:bottom w:w="90" w:type="dxa"/>
              <w:end w:w="120" w:type="dxa"/>
            </w:tcMar>
            <w:vAlign w:val="center"/>
          </w:tcPr>
          <w:p>
            <w:pPr>
              <w:spacing w:after="0" w:line="252" w:lineRule="auto"/>
            </w:pPr>
            <w:r>
              <w:rPr>
                <w:rFonts w:ascii="Aptos" w:hAnsi="Aptos"/>
                <w:b w:val="0"/>
                <w:i w:val="0"/>
                <w:color w:val="24323D"/>
                <w:sz w:val="17"/>
              </w:rPr>
              <w:t>Return may not keep pace with inflation; deposit-insurance limit applies per bank.</w:t>
            </w:r>
          </w:p>
        </w:tc>
      </w:tr>
      <w:tr>
        <w:tc>
          <w:tcPr>
            <w:tcW w:type="dxa" w:w="1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FD / term deposit</w:t>
            </w:r>
          </w:p>
        </w:tc>
        <w:tc>
          <w:tcPr>
            <w:tcW w:type="dxa" w:w="24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Known-date goals; capital stability</w:t>
            </w:r>
          </w:p>
        </w:tc>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Chosen term; early closure rules vary</w:t>
            </w:r>
          </w:p>
        </w:tc>
        <w:tc>
          <w:tcPr>
            <w:tcW w:type="dxa" w:w="3798"/>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Reinvestment risk; penalty or lower interest on early closure; interest is generally taxable.</w:t>
            </w:r>
          </w:p>
        </w:tc>
      </w:tr>
      <w:tr>
        <w:tc>
          <w:tcPr>
            <w:tcW w:type="dxa" w:w="1600"/>
            <w:tcMar>
              <w:top w:w="90" w:type="dxa"/>
              <w:start w:w="120" w:type="dxa"/>
              <w:bottom w:w="90" w:type="dxa"/>
              <w:end w:w="120" w:type="dxa"/>
            </w:tcMar>
            <w:vAlign w:val="center"/>
          </w:tcPr>
          <w:p>
            <w:pPr>
              <w:spacing w:after="0" w:line="252" w:lineRule="auto"/>
            </w:pPr>
            <w:r>
              <w:rPr>
                <w:rFonts w:ascii="Aptos" w:hAnsi="Aptos"/>
                <w:b w:val="0"/>
                <w:i w:val="0"/>
                <w:color w:val="24323D"/>
                <w:sz w:val="17"/>
              </w:rPr>
              <w:t>RD</w:t>
            </w:r>
          </w:p>
        </w:tc>
        <w:tc>
          <w:tcPr>
            <w:tcW w:type="dxa" w:w="2450"/>
            <w:tcMar>
              <w:top w:w="90" w:type="dxa"/>
              <w:start w:w="120" w:type="dxa"/>
              <w:bottom w:w="90" w:type="dxa"/>
              <w:end w:w="120" w:type="dxa"/>
            </w:tcMar>
            <w:vAlign w:val="center"/>
          </w:tcPr>
          <w:p>
            <w:pPr>
              <w:spacing w:after="0" w:line="252" w:lineRule="auto"/>
            </w:pPr>
            <w:r>
              <w:rPr>
                <w:rFonts w:ascii="Aptos" w:hAnsi="Aptos"/>
                <w:b w:val="0"/>
                <w:i w:val="0"/>
                <w:color w:val="24323D"/>
                <w:sz w:val="17"/>
              </w:rPr>
              <w:t>Building a regular saving habit for a known goal</w:t>
            </w:r>
          </w:p>
        </w:tc>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7"/>
              </w:rPr>
              <w:t>Monthly deposits for chosen term</w:t>
            </w:r>
          </w:p>
        </w:tc>
        <w:tc>
          <w:tcPr>
            <w:tcW w:type="dxa" w:w="3798"/>
            <w:tcMar>
              <w:top w:w="90" w:type="dxa"/>
              <w:start w:w="120" w:type="dxa"/>
              <w:bottom w:w="90" w:type="dxa"/>
              <w:end w:w="120" w:type="dxa"/>
            </w:tcMar>
            <w:vAlign w:val="center"/>
          </w:tcPr>
          <w:p>
            <w:pPr>
              <w:spacing w:after="0" w:line="252" w:lineRule="auto"/>
            </w:pPr>
            <w:r>
              <w:rPr>
                <w:rFonts w:ascii="Aptos" w:hAnsi="Aptos"/>
                <w:b w:val="0"/>
                <w:i w:val="0"/>
                <w:color w:val="24323D"/>
                <w:sz w:val="17"/>
              </w:rPr>
              <w:t>Less flexible than a savings account; missed-instalment and closure rules vary.</w:t>
            </w:r>
          </w:p>
        </w:tc>
      </w:tr>
    </w:tbl>
    <w:p>
      <w:pPr>
        <w:widowControl/>
        <w:spacing w:after="20"/>
      </w:pPr>
    </w:p>
    <w:tbl>
      <w:tblPr>
        <w:tblW w:type="auto" w:w="0"/>
        <w:jc w:val="center"/>
        <w:tblLayout w:type="fixed"/>
        <w:tblLook w:firstColumn="1" w:firstRow="1" w:lastColumn="0" w:lastRow="0" w:noHBand="0" w:noVBand="1" w:val="04A0"/>
      </w:tblPr>
      <w:tblGrid>
        <w:gridCol w:w="9648"/>
      </w:tblGrid>
      <w:tr>
        <w:tc>
          <w:tcPr>
            <w:tcW w:type="dxa" w:w="9400"/>
            <w:shd w:fill="EAF3F2"/>
            <w:tcMar>
              <w:top w:w="150" w:type="dxa"/>
              <w:start w:w="180" w:type="dxa"/>
              <w:bottom w:w="150" w:type="dxa"/>
              <w:end w:w="180" w:type="dxa"/>
            </w:tcMar>
          </w:tcPr>
          <w:p>
            <w:pPr>
              <w:spacing w:after="80"/>
            </w:pPr>
            <w:r>
              <w:rPr>
                <w:rFonts w:ascii="Aptos" w:hAnsi="Aptos"/>
                <w:b/>
                <w:i w:val="0"/>
                <w:color w:val="3E8C84"/>
                <w:sz w:val="18"/>
              </w:rPr>
              <w:t>REAL-LIFE EXAMPLE</w:t>
            </w:r>
          </w:p>
          <w:p>
            <w:pPr>
              <w:spacing w:after="0"/>
            </w:pPr>
            <w:r>
              <w:rPr>
                <w:rFonts w:ascii="Aptos" w:hAnsi="Aptos"/>
                <w:b w:val="0"/>
                <w:i w:val="0"/>
                <w:color w:val="24323D"/>
                <w:sz w:val="20"/>
              </w:rPr>
              <w:t>A family expects a school admission payment in nine months. Their first concern may be access and capital stability—not maximising return. That does not make deposits “better”; it makes the product’s job a closer match to the goal.</w:t>
            </w:r>
          </w:p>
        </w:tc>
      </w:tr>
    </w:tbl>
    <w:p>
      <w:pPr>
        <w:widowControl/>
        <w:spacing w:after="20"/>
      </w:pPr>
    </w:p>
    <w:p>
      <w:pPr>
        <w:pStyle w:val="Heading2"/>
        <w:keepNext/>
        <w:widowControl/>
      </w:pPr>
      <w:r>
        <w:t>2. Government small-savings products: rule-based, goal-specific</w:t>
      </w:r>
    </w:p>
    <w:p>
      <w:pPr>
        <w:widowControl/>
      </w:pPr>
      <w:r>
        <w:rPr>
          <w:rFonts w:ascii="Aptos" w:hAnsi="Aptos"/>
          <w:b w:val="0"/>
          <w:i w:val="0"/>
          <w:color w:val="24323D"/>
          <w:sz w:val="21"/>
        </w:rPr>
        <w:t>Products such as PPF, NSC, post-office time deposits and Sukanya Samriddhi accounts are governed by notified rules. They may offer sovereign backing and defined structures, but they are not interchangeable. Lock-ins, contribution limits, withdrawal rules and tax treatment differ. Chapter 17 explains the major schemes.</w:t>
      </w:r>
    </w:p>
    <w:p>
      <w:pPr>
        <w:pStyle w:val="Heading2"/>
        <w:keepNext/>
        <w:widowControl/>
      </w:pPr>
      <w:r>
        <w:t>3. Bonds: you are lending money</w:t>
      </w:r>
    </w:p>
    <w:p>
      <w:pPr>
        <w:widowControl/>
      </w:pPr>
      <w:r>
        <w:rPr>
          <w:rFonts w:ascii="Aptos" w:hAnsi="Aptos"/>
          <w:b w:val="0"/>
          <w:i w:val="0"/>
          <w:color w:val="24323D"/>
          <w:sz w:val="21"/>
        </w:rPr>
        <w:t>When you buy a bond, you lend money to a government, company or other issuer. In return, the issuer may pay interest and repay the principal at maturity. A bond is not automatically “safe.” Its risks include the issuer failing to pay, market price changes when interest rates move, and difficulty selling before maturity.</w:t>
      </w:r>
    </w:p>
    <w:tbl>
      <w:tblPr>
        <w:tblW w:type="auto" w:w="0"/>
        <w:jc w:val="center"/>
        <w:tblLayout w:type="fixed"/>
        <w:tblLook w:firstColumn="1" w:firstRow="1" w:lastColumn="0" w:lastRow="0" w:noHBand="0" w:noVBand="1" w:val="04A0"/>
      </w:tblPr>
      <w:tblGrid>
        <w:gridCol w:w="9648"/>
      </w:tblGrid>
      <w:tr>
        <w:tc>
          <w:tcPr>
            <w:tcW w:type="dxa" w:w="9400"/>
            <w:shd w:fill="F9ECEB"/>
            <w:tcMar>
              <w:top w:w="150" w:type="dxa"/>
              <w:start w:w="180" w:type="dxa"/>
              <w:bottom w:w="150" w:type="dxa"/>
              <w:end w:w="180" w:type="dxa"/>
            </w:tcMar>
          </w:tcPr>
          <w:p>
            <w:pPr>
              <w:spacing w:after="80"/>
            </w:pPr>
            <w:r>
              <w:rPr>
                <w:rFonts w:ascii="Aptos" w:hAnsi="Aptos"/>
                <w:b/>
                <w:i w:val="0"/>
                <w:color w:val="9B3A35"/>
                <w:sz w:val="18"/>
              </w:rPr>
              <w:t>ASK BEFORE BUYING A BOND</w:t>
            </w:r>
          </w:p>
          <w:p>
            <w:pPr>
              <w:spacing w:after="0"/>
            </w:pPr>
            <w:r>
              <w:rPr>
                <w:rFonts w:ascii="Aptos" w:hAnsi="Aptos"/>
                <w:b w:val="0"/>
                <w:i w:val="0"/>
                <w:color w:val="24323D"/>
                <w:sz w:val="20"/>
              </w:rPr>
              <w:t>Who is the issuer? What is the credit rating—and what does the rating not guarantee? When does it mature? Can I sell it easily? Is the return fixed, floating or market-linked? What happens if the issuer defaults?</w:t>
            </w:r>
          </w:p>
        </w:tc>
      </w:tr>
    </w:tbl>
    <w:p>
      <w:pPr>
        <w:widowControl/>
        <w:spacing w:after="20"/>
      </w:pPr>
    </w:p>
    <w:p>
      <w:pPr>
        <w:pStyle w:val="Heading2"/>
        <w:keepNext/>
        <w:widowControl/>
      </w:pPr>
      <w:r>
        <w:t>4. Mutual funds: pooled portfolios</w:t>
      </w:r>
    </w:p>
    <w:p>
      <w:pPr>
        <w:widowControl/>
      </w:pPr>
      <w:r>
        <w:rPr>
          <w:rFonts w:ascii="Aptos" w:hAnsi="Aptos"/>
          <w:b w:val="0"/>
          <w:i w:val="0"/>
          <w:color w:val="24323D"/>
          <w:sz w:val="21"/>
        </w:rPr>
        <w:t>A mutual fund pools money from investors and invests it according to a stated objective. Depending on the scheme, the portfolio may hold equities, debt securities, money-market instruments, gold or a mixture. Professional management and diversification can make investing more accessible, but neither removes risk.</w:t>
      </w:r>
    </w:p>
    <w:tbl>
      <w:tblPr>
        <w:tblStyle w:val="TableGrid"/>
        <w:tblW w:type="dxa" w:w="9648"/>
        <w:jc w:val="center"/>
        <w:tblLayout w:type="fixed"/>
        <w:tblLook w:firstColumn="1" w:firstRow="1" w:lastColumn="0" w:lastRow="0" w:noHBand="0" w:noVBand="1" w:val="04A0"/>
      </w:tblPr>
      <w:tblGrid>
        <w:gridCol w:w="1600"/>
        <w:gridCol w:w="3200"/>
        <w:gridCol w:w="4848"/>
      </w:tblGrid>
      <w:tr>
        <w:trPr>
          <w:tblHeader w:val="true"/>
        </w:trPr>
        <w:tc>
          <w:tcPr>
            <w:tcW w:type="dxa" w:w="1600"/>
            <w:shd w:fill="24445C"/>
            <w:tcMar>
              <w:top w:w="90" w:type="dxa"/>
              <w:start w:w="120" w:type="dxa"/>
              <w:bottom w:w="90" w:type="dxa"/>
              <w:end w:w="120" w:type="dxa"/>
            </w:tcMar>
            <w:vAlign w:val="center"/>
          </w:tcPr>
          <w:p>
            <w:pPr>
              <w:spacing w:after="0"/>
            </w:pPr>
            <w:r>
              <w:rPr>
                <w:rFonts w:ascii="Aptos" w:hAnsi="Aptos"/>
                <w:b/>
                <w:i w:val="0"/>
                <w:color w:val="FFFFFF"/>
                <w:sz w:val="18"/>
              </w:rPr>
              <w:t>Type</w:t>
            </w:r>
          </w:p>
        </w:tc>
        <w:tc>
          <w:tcPr>
            <w:tcW w:type="dxa" w:w="3200"/>
            <w:shd w:fill="24445C"/>
            <w:tcMar>
              <w:top w:w="90" w:type="dxa"/>
              <w:start w:w="120" w:type="dxa"/>
              <w:bottom w:w="90" w:type="dxa"/>
              <w:end w:w="120" w:type="dxa"/>
            </w:tcMar>
            <w:vAlign w:val="center"/>
          </w:tcPr>
          <w:p>
            <w:pPr>
              <w:spacing w:after="0"/>
            </w:pPr>
            <w:r>
              <w:rPr>
                <w:rFonts w:ascii="Aptos" w:hAnsi="Aptos"/>
                <w:b/>
                <w:i w:val="0"/>
                <w:color w:val="FFFFFF"/>
                <w:sz w:val="18"/>
              </w:rPr>
              <w:t>Broad purpose</w:t>
            </w:r>
          </w:p>
        </w:tc>
        <w:tc>
          <w:tcPr>
            <w:tcW w:type="dxa" w:w="4848"/>
            <w:shd w:fill="24445C"/>
            <w:tcMar>
              <w:top w:w="90" w:type="dxa"/>
              <w:start w:w="120" w:type="dxa"/>
              <w:bottom w:w="90" w:type="dxa"/>
              <w:end w:w="120" w:type="dxa"/>
            </w:tcMar>
            <w:vAlign w:val="center"/>
          </w:tcPr>
          <w:p>
            <w:pPr>
              <w:spacing w:after="0"/>
            </w:pPr>
            <w:r>
              <w:rPr>
                <w:rFonts w:ascii="Aptos" w:hAnsi="Aptos"/>
                <w:b/>
                <w:i w:val="0"/>
                <w:color w:val="FFFFFF"/>
                <w:sz w:val="18"/>
              </w:rPr>
              <w:t>What can go wrong</w:t>
            </w:r>
          </w:p>
        </w:tc>
      </w:tr>
      <w:tr>
        <w:tc>
          <w:tcPr>
            <w:tcW w:type="dxa" w:w="1600"/>
            <w:tcMar>
              <w:top w:w="90" w:type="dxa"/>
              <w:start w:w="120" w:type="dxa"/>
              <w:bottom w:w="90" w:type="dxa"/>
              <w:end w:w="120" w:type="dxa"/>
            </w:tcMar>
            <w:vAlign w:val="center"/>
          </w:tcPr>
          <w:p>
            <w:pPr>
              <w:spacing w:after="0" w:line="252" w:lineRule="auto"/>
            </w:pPr>
            <w:r>
              <w:rPr>
                <w:rFonts w:ascii="Aptos" w:hAnsi="Aptos"/>
                <w:b w:val="0"/>
                <w:i w:val="0"/>
                <w:color w:val="24323D"/>
                <w:sz w:val="17"/>
              </w:rPr>
              <w:t>Equity fund</w:t>
            </w:r>
          </w:p>
        </w:tc>
        <w:tc>
          <w:tcPr>
            <w:tcW w:type="dxa" w:w="3200"/>
            <w:tcMar>
              <w:top w:w="90" w:type="dxa"/>
              <w:start w:w="120" w:type="dxa"/>
              <w:bottom w:w="90" w:type="dxa"/>
              <w:end w:w="120" w:type="dxa"/>
            </w:tcMar>
            <w:vAlign w:val="center"/>
          </w:tcPr>
          <w:p>
            <w:pPr>
              <w:spacing w:after="0" w:line="252" w:lineRule="auto"/>
            </w:pPr>
            <w:r>
              <w:rPr>
                <w:rFonts w:ascii="Aptos" w:hAnsi="Aptos"/>
                <w:b w:val="0"/>
                <w:i w:val="0"/>
                <w:color w:val="24323D"/>
                <w:sz w:val="17"/>
              </w:rPr>
              <w:t>Long-term growth through company shares</w:t>
            </w:r>
          </w:p>
        </w:tc>
        <w:tc>
          <w:tcPr>
            <w:tcW w:type="dxa" w:w="4848"/>
            <w:tcMar>
              <w:top w:w="90" w:type="dxa"/>
              <w:start w:w="120" w:type="dxa"/>
              <w:bottom w:w="90" w:type="dxa"/>
              <w:end w:w="120" w:type="dxa"/>
            </w:tcMar>
            <w:vAlign w:val="center"/>
          </w:tcPr>
          <w:p>
            <w:pPr>
              <w:spacing w:after="0" w:line="252" w:lineRule="auto"/>
            </w:pPr>
            <w:r>
              <w:rPr>
                <w:rFonts w:ascii="Aptos" w:hAnsi="Aptos"/>
                <w:b w:val="0"/>
                <w:i w:val="0"/>
                <w:color w:val="24323D"/>
                <w:sz w:val="17"/>
              </w:rPr>
              <w:t>Values can fall sharply; sector or style concentration can add risk.</w:t>
            </w:r>
          </w:p>
        </w:tc>
      </w:tr>
      <w:tr>
        <w:tc>
          <w:tcPr>
            <w:tcW w:type="dxa" w:w="1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Debt fund</w:t>
            </w:r>
          </w:p>
        </w:tc>
        <w:tc>
          <w:tcPr>
            <w:tcW w:type="dxa" w:w="3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Exposure to fixed-income securities</w:t>
            </w:r>
          </w:p>
        </w:tc>
        <w:tc>
          <w:tcPr>
            <w:tcW w:type="dxa" w:w="4848"/>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Credit defaults, interest-rate movements and liquidity problems can cause losses.</w:t>
            </w:r>
          </w:p>
        </w:tc>
      </w:tr>
      <w:tr>
        <w:tc>
          <w:tcPr>
            <w:tcW w:type="dxa" w:w="1600"/>
            <w:tcMar>
              <w:top w:w="90" w:type="dxa"/>
              <w:start w:w="120" w:type="dxa"/>
              <w:bottom w:w="90" w:type="dxa"/>
              <w:end w:w="120" w:type="dxa"/>
            </w:tcMar>
            <w:vAlign w:val="center"/>
          </w:tcPr>
          <w:p>
            <w:pPr>
              <w:spacing w:after="0" w:line="252" w:lineRule="auto"/>
            </w:pPr>
            <w:r>
              <w:rPr>
                <w:rFonts w:ascii="Aptos" w:hAnsi="Aptos"/>
                <w:b w:val="0"/>
                <w:i w:val="0"/>
                <w:color w:val="24323D"/>
                <w:sz w:val="17"/>
              </w:rPr>
              <w:t>Hybrid fund</w:t>
            </w:r>
          </w:p>
        </w:tc>
        <w:tc>
          <w:tcPr>
            <w:tcW w:type="dxa" w:w="3200"/>
            <w:tcMar>
              <w:top w:w="90" w:type="dxa"/>
              <w:start w:w="120" w:type="dxa"/>
              <w:bottom w:w="90" w:type="dxa"/>
              <w:end w:w="120" w:type="dxa"/>
            </w:tcMar>
            <w:vAlign w:val="center"/>
          </w:tcPr>
          <w:p>
            <w:pPr>
              <w:spacing w:after="0" w:line="252" w:lineRule="auto"/>
            </w:pPr>
            <w:r>
              <w:rPr>
                <w:rFonts w:ascii="Aptos" w:hAnsi="Aptos"/>
                <w:b w:val="0"/>
                <w:i w:val="0"/>
                <w:color w:val="24323D"/>
                <w:sz w:val="17"/>
              </w:rPr>
              <w:t>Mix of equity and debt</w:t>
            </w:r>
          </w:p>
        </w:tc>
        <w:tc>
          <w:tcPr>
            <w:tcW w:type="dxa" w:w="4848"/>
            <w:tcMar>
              <w:top w:w="90" w:type="dxa"/>
              <w:start w:w="120" w:type="dxa"/>
              <w:bottom w:w="90" w:type="dxa"/>
              <w:end w:w="120" w:type="dxa"/>
            </w:tcMar>
            <w:vAlign w:val="center"/>
          </w:tcPr>
          <w:p>
            <w:pPr>
              <w:spacing w:after="0" w:line="252" w:lineRule="auto"/>
            </w:pPr>
            <w:r>
              <w:rPr>
                <w:rFonts w:ascii="Aptos" w:hAnsi="Aptos"/>
                <w:b w:val="0"/>
                <w:i w:val="0"/>
                <w:color w:val="24323D"/>
                <w:sz w:val="17"/>
              </w:rPr>
              <w:t>Risk depends on the actual allocation; “hybrid” does not mean guaranteed.</w:t>
            </w:r>
          </w:p>
        </w:tc>
      </w:tr>
      <w:tr>
        <w:tc>
          <w:tcPr>
            <w:tcW w:type="dxa" w:w="1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Index fund</w:t>
            </w:r>
          </w:p>
        </w:tc>
        <w:tc>
          <w:tcPr>
            <w:tcW w:type="dxa" w:w="3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Tracks a stated index</w:t>
            </w:r>
          </w:p>
        </w:tc>
        <w:tc>
          <w:tcPr>
            <w:tcW w:type="dxa" w:w="4848"/>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It will broadly share the index’s falls and may have tracking difference.</w:t>
            </w:r>
          </w:p>
        </w:tc>
      </w:tr>
      <w:tr>
        <w:tc>
          <w:tcPr>
            <w:tcW w:type="dxa" w:w="1600"/>
            <w:tcMar>
              <w:top w:w="90" w:type="dxa"/>
              <w:start w:w="120" w:type="dxa"/>
              <w:bottom w:w="90" w:type="dxa"/>
              <w:end w:w="120" w:type="dxa"/>
            </w:tcMar>
            <w:vAlign w:val="center"/>
          </w:tcPr>
          <w:p>
            <w:pPr>
              <w:spacing w:after="0" w:line="252" w:lineRule="auto"/>
            </w:pPr>
            <w:r>
              <w:rPr>
                <w:rFonts w:ascii="Aptos" w:hAnsi="Aptos"/>
                <w:b w:val="0"/>
                <w:i w:val="0"/>
                <w:color w:val="24323D"/>
                <w:sz w:val="17"/>
              </w:rPr>
              <w:t>Liquid / money-market fund</w:t>
            </w:r>
          </w:p>
        </w:tc>
        <w:tc>
          <w:tcPr>
            <w:tcW w:type="dxa" w:w="3200"/>
            <w:tcMar>
              <w:top w:w="90" w:type="dxa"/>
              <w:start w:w="120" w:type="dxa"/>
              <w:bottom w:w="90" w:type="dxa"/>
              <w:end w:w="120" w:type="dxa"/>
            </w:tcMar>
            <w:vAlign w:val="center"/>
          </w:tcPr>
          <w:p>
            <w:pPr>
              <w:spacing w:after="0" w:line="252" w:lineRule="auto"/>
            </w:pPr>
            <w:r>
              <w:rPr>
                <w:rFonts w:ascii="Aptos" w:hAnsi="Aptos"/>
                <w:b w:val="0"/>
                <w:i w:val="0"/>
                <w:color w:val="24323D"/>
                <w:sz w:val="17"/>
              </w:rPr>
              <w:t>Short-duration parking of surplus</w:t>
            </w:r>
          </w:p>
        </w:tc>
        <w:tc>
          <w:tcPr>
            <w:tcW w:type="dxa" w:w="4848"/>
            <w:tcMar>
              <w:top w:w="90" w:type="dxa"/>
              <w:start w:w="120" w:type="dxa"/>
              <w:bottom w:w="90" w:type="dxa"/>
              <w:end w:w="120" w:type="dxa"/>
            </w:tcMar>
            <w:vAlign w:val="center"/>
          </w:tcPr>
          <w:p>
            <w:pPr>
              <w:spacing w:after="0" w:line="252" w:lineRule="auto"/>
            </w:pPr>
            <w:r>
              <w:rPr>
                <w:rFonts w:ascii="Aptos" w:hAnsi="Aptos"/>
                <w:b w:val="0"/>
                <w:i w:val="0"/>
                <w:color w:val="24323D"/>
                <w:sz w:val="17"/>
              </w:rPr>
              <w:t>Not a bank deposit and not covered by DICGC; small losses are possible.</w:t>
            </w:r>
          </w:p>
        </w:tc>
      </w:tr>
    </w:tbl>
    <w:p>
      <w:pPr>
        <w:widowControl/>
        <w:spacing w:after="20"/>
      </w:pPr>
    </w:p>
    <w:p>
      <w:pPr>
        <w:widowControl/>
      </w:pPr>
      <w:r>
        <w:rPr>
          <w:rFonts w:ascii="Aptos" w:hAnsi="Aptos"/>
          <w:b w:val="0"/>
          <w:i w:val="0"/>
          <w:color w:val="24323D"/>
          <w:sz w:val="21"/>
        </w:rPr>
        <w:t>A SIP is only a method of investing a fixed amount regularly; it is not a separate product and it does not guarantee profit. Always read the scheme objective, riskometer, costs and exit-load rules.</w:t>
      </w:r>
    </w:p>
    <w:p>
      <w:pPr>
        <w:pStyle w:val="MVSource"/>
        <w:widowControl/>
      </w:pPr>
      <w:r>
        <w:rPr>
          <w:rFonts w:ascii="Aptos" w:hAnsi="Aptos"/>
          <w:b w:val="0"/>
          <w:i w:val="0"/>
          <w:color w:val="24323D"/>
          <w:sz w:val="21"/>
        </w:rPr>
        <w:t>Concept basis: SEBI Investor education pages on securities, mutual funds and asset classes, checked 22 July 2026.</w:t>
      </w:r>
    </w:p>
    <w:p>
      <w:pPr>
        <w:pStyle w:val="Heading2"/>
        <w:keepNext/>
        <w:widowControl/>
      </w:pPr>
      <w:r>
        <w:t>5. Shares: ownership with real uncertainty</w:t>
      </w:r>
    </w:p>
    <w:p>
      <w:pPr>
        <w:widowControl/>
      </w:pPr>
      <w:r>
        <w:rPr>
          <w:rFonts w:ascii="Aptos" w:hAnsi="Aptos"/>
          <w:b w:val="0"/>
          <w:i w:val="0"/>
          <w:color w:val="24323D"/>
          <w:sz w:val="21"/>
        </w:rPr>
        <w:t>A share represents part-ownership of a company. Returns may come from dividends and a rise in the share price, but neither is assured. Company performance, valuation, industry conditions and the wider economy can all affect price. Direct shares require research, diversification and the ability to accept loss.</w:t>
      </w:r>
    </w:p>
    <w:tbl>
      <w:tblPr>
        <w:tblW w:type="auto" w:w="0"/>
        <w:jc w:val="center"/>
        <w:tblLayout w:type="fixed"/>
        <w:tblLook w:firstColumn="1" w:firstRow="1" w:lastColumn="0" w:lastRow="0" w:noHBand="0" w:noVBand="1" w:val="04A0"/>
      </w:tblPr>
      <w:tblGrid>
        <w:gridCol w:w="9648"/>
      </w:tblGrid>
      <w:tr>
        <w:tc>
          <w:tcPr>
            <w:tcW w:type="dxa" w:w="9400"/>
            <w:shd w:fill="F9ECEB"/>
            <w:tcMar>
              <w:top w:w="150" w:type="dxa"/>
              <w:start w:w="180" w:type="dxa"/>
              <w:bottom w:w="150" w:type="dxa"/>
              <w:end w:w="180" w:type="dxa"/>
            </w:tcMar>
          </w:tcPr>
          <w:p>
            <w:pPr>
              <w:spacing w:after="80"/>
            </w:pPr>
            <w:r>
              <w:rPr>
                <w:rFonts w:ascii="Aptos" w:hAnsi="Aptos"/>
                <w:b/>
                <w:i w:val="0"/>
                <w:color w:val="9B3A35"/>
                <w:sz w:val="18"/>
              </w:rPr>
              <w:t>RED FLAGS</w:t>
            </w:r>
          </w:p>
          <w:p>
            <w:pPr>
              <w:spacing w:after="0"/>
            </w:pPr>
            <w:r>
              <w:rPr>
                <w:rFonts w:ascii="Aptos" w:hAnsi="Aptos"/>
                <w:b w:val="0"/>
                <w:i w:val="0"/>
                <w:color w:val="24323D"/>
                <w:sz w:val="20"/>
              </w:rPr>
              <w:t>Guaranteed stock tips; pressure to act before a “secret” expires; unregistered advisers; promises to double money; requests to transfer money to a personal account; or anyone asking for your password, OTP or trading access.</w:t>
            </w:r>
          </w:p>
        </w:tc>
      </w:tr>
    </w:tbl>
    <w:p>
      <w:pPr>
        <w:widowControl/>
        <w:spacing w:after="20"/>
      </w:pPr>
    </w:p>
    <w:p>
      <w:pPr>
        <w:pStyle w:val="Heading2"/>
        <w:keepNext/>
        <w:widowControl/>
      </w:pPr>
      <w:r>
        <w:t>6. ETFs: funds that trade on an exchange</w:t>
      </w:r>
    </w:p>
    <w:p>
      <w:pPr>
        <w:widowControl/>
      </w:pPr>
      <w:r>
        <w:rPr>
          <w:rFonts w:ascii="Aptos" w:hAnsi="Aptos"/>
          <w:b w:val="0"/>
          <w:i w:val="0"/>
          <w:color w:val="24323D"/>
          <w:sz w:val="21"/>
        </w:rPr>
        <w:t>An exchange-traded fund holds a portfolio—often tracking an index—but its units trade on a stock exchange like shares. It may offer diversification and lower ongoing costs, yet buying and selling can involve brokerage, bid–ask spreads and demat charges. Its market price can move during the day.</w:t>
      </w:r>
    </w:p>
    <w:p>
      <w:pPr>
        <w:pStyle w:val="Heading2"/>
        <w:keepNext/>
        <w:widowControl/>
      </w:pPr>
      <w:r>
        <w:t>7. Gold: useful, but not magical</w:t>
      </w:r>
    </w:p>
    <w:p>
      <w:pPr>
        <w:widowControl/>
      </w:pPr>
      <w:r>
        <w:rPr>
          <w:rFonts w:ascii="Aptos" w:hAnsi="Aptos"/>
          <w:b w:val="0"/>
          <w:i w:val="0"/>
          <w:color w:val="24323D"/>
          <w:sz w:val="21"/>
        </w:rPr>
        <w:t>Gold can be held as jewellery, coins or bars, or through regulated financial products such as gold ETFs or eligible mutual funds. Jewellery includes making charges and may be poor for short-term resale. Physical gold needs secure storage and purity checks. Market-linked gold products still fluctuate. Gold produces no business earnings or interest merely because you hold it.</w:t>
      </w:r>
    </w:p>
    <w:p>
      <w:pPr>
        <w:pStyle w:val="Heading2"/>
        <w:keepNext/>
        <w:widowControl/>
      </w:pPr>
      <w:r>
        <w:t>8. Real estate and REITs: property in two different forms</w:t>
      </w:r>
    </w:p>
    <w:p>
      <w:pPr>
        <w:widowControl/>
      </w:pPr>
      <w:r>
        <w:rPr>
          <w:rFonts w:ascii="Aptos" w:hAnsi="Aptos"/>
          <w:b w:val="0"/>
          <w:i w:val="0"/>
          <w:color w:val="24323D"/>
          <w:sz w:val="21"/>
        </w:rPr>
        <w:t>Direct property may offer use, rent or appreciation, but it usually needs a large amount, involves legal and maintenance work, and can take time to sell. A Real Estate Investment Trust (REIT) gives investors exposure to income-generating real estate through listed units. REIT prices and distributions can change; they are not the same as owning a flat.</w:t>
      </w:r>
    </w:p>
    <w:p>
      <w:pPr>
        <w:pStyle w:val="Heading2"/>
        <w:keepNext/>
        <w:widowControl/>
      </w:pPr>
      <w:r>
        <w:t>9. Insurance: protection first</w:t>
      </w:r>
    </w:p>
    <w:p>
      <w:pPr>
        <w:widowControl/>
      </w:pPr>
      <w:r>
        <w:rPr>
          <w:rFonts w:ascii="Aptos" w:hAnsi="Aptos"/>
          <w:b w:val="0"/>
          <w:i w:val="0"/>
          <w:color w:val="24323D"/>
          <w:sz w:val="21"/>
        </w:rPr>
        <w:t>Insurance transfers specified financial risks to an insurer under a contract. Health insurance helps with eligible medical costs; term life insurance protects dependants if the insured dies during the cover period. Investment-linked or savings-linked insurance combines functions and can be harder to compare. Read exclusions, waiting periods, surrender terms and benefit illustrations before signing.</w:t>
      </w:r>
    </w:p>
    <w:p>
      <w:pPr>
        <w:pStyle w:val="Heading1"/>
        <w:keepNext/>
        <w:widowControl/>
      </w:pPr>
      <w:r>
        <w:t>One-page comparison</w:t>
      </w:r>
    </w:p>
    <w:tbl>
      <w:tblPr>
        <w:tblStyle w:val="TableGrid"/>
        <w:tblW w:type="dxa" w:w="9648"/>
        <w:jc w:val="center"/>
        <w:tblLayout w:type="fixed"/>
        <w:tblLook w:firstColumn="1" w:firstRow="1" w:lastColumn="0" w:lastRow="0" w:noHBand="0" w:noVBand="1" w:val="04A0"/>
      </w:tblPr>
      <w:tblGrid>
        <w:gridCol w:w="1900"/>
        <w:gridCol w:w="1650"/>
        <w:gridCol w:w="1500"/>
        <w:gridCol w:w="2100"/>
        <w:gridCol w:w="2498"/>
      </w:tblGrid>
      <w:tr>
        <w:trPr>
          <w:tblHeader w:val="true"/>
        </w:trPr>
        <w:tc>
          <w:tcPr>
            <w:tcW w:type="dxa" w:w="1900"/>
            <w:shd w:fill="24445C"/>
            <w:tcMar>
              <w:top w:w="90" w:type="dxa"/>
              <w:start w:w="120" w:type="dxa"/>
              <w:bottom w:w="90" w:type="dxa"/>
              <w:end w:w="120" w:type="dxa"/>
            </w:tcMar>
            <w:vAlign w:val="center"/>
          </w:tcPr>
          <w:p>
            <w:pPr>
              <w:spacing w:after="0"/>
            </w:pPr>
            <w:r>
              <w:rPr>
                <w:rFonts w:ascii="Aptos" w:hAnsi="Aptos"/>
                <w:b/>
                <w:i w:val="0"/>
                <w:color w:val="FFFFFF"/>
                <w:sz w:val="18"/>
              </w:rPr>
              <w:t>Product family</w:t>
            </w:r>
          </w:p>
        </w:tc>
        <w:tc>
          <w:tcPr>
            <w:tcW w:type="dxa" w:w="1650"/>
            <w:shd w:fill="24445C"/>
            <w:tcMar>
              <w:top w:w="90" w:type="dxa"/>
              <w:start w:w="120" w:type="dxa"/>
              <w:bottom w:w="90" w:type="dxa"/>
              <w:end w:w="120" w:type="dxa"/>
            </w:tcMar>
            <w:vAlign w:val="center"/>
          </w:tcPr>
          <w:p>
            <w:pPr>
              <w:spacing w:after="0"/>
            </w:pPr>
            <w:r>
              <w:rPr>
                <w:rFonts w:ascii="Aptos" w:hAnsi="Aptos"/>
                <w:b/>
                <w:i w:val="0"/>
                <w:color w:val="FFFFFF"/>
                <w:sz w:val="18"/>
              </w:rPr>
              <w:t>Capital certainty</w:t>
            </w:r>
          </w:p>
        </w:tc>
        <w:tc>
          <w:tcPr>
            <w:tcW w:type="dxa" w:w="1500"/>
            <w:shd w:fill="24445C"/>
            <w:tcMar>
              <w:top w:w="90" w:type="dxa"/>
              <w:start w:w="120" w:type="dxa"/>
              <w:bottom w:w="90" w:type="dxa"/>
              <w:end w:w="120" w:type="dxa"/>
            </w:tcMar>
            <w:vAlign w:val="center"/>
          </w:tcPr>
          <w:p>
            <w:pPr>
              <w:spacing w:after="0"/>
            </w:pPr>
            <w:r>
              <w:rPr>
                <w:rFonts w:ascii="Aptos" w:hAnsi="Aptos"/>
                <w:b/>
                <w:i w:val="0"/>
                <w:color w:val="FFFFFF"/>
                <w:sz w:val="18"/>
              </w:rPr>
              <w:t>Access</w:t>
            </w:r>
          </w:p>
        </w:tc>
        <w:tc>
          <w:tcPr>
            <w:tcW w:type="dxa" w:w="2100"/>
            <w:shd w:fill="24445C"/>
            <w:tcMar>
              <w:top w:w="90" w:type="dxa"/>
              <w:start w:w="120" w:type="dxa"/>
              <w:bottom w:w="90" w:type="dxa"/>
              <w:end w:w="120" w:type="dxa"/>
            </w:tcMar>
            <w:vAlign w:val="center"/>
          </w:tcPr>
          <w:p>
            <w:pPr>
              <w:spacing w:after="0"/>
            </w:pPr>
            <w:r>
              <w:rPr>
                <w:rFonts w:ascii="Aptos" w:hAnsi="Aptos"/>
                <w:b/>
                <w:i w:val="0"/>
                <w:color w:val="FFFFFF"/>
                <w:sz w:val="18"/>
              </w:rPr>
              <w:t>Growth potential</w:t>
            </w:r>
          </w:p>
        </w:tc>
        <w:tc>
          <w:tcPr>
            <w:tcW w:type="dxa" w:w="2498"/>
            <w:shd w:fill="24445C"/>
            <w:tcMar>
              <w:top w:w="90" w:type="dxa"/>
              <w:start w:w="120" w:type="dxa"/>
              <w:bottom w:w="90" w:type="dxa"/>
              <w:end w:w="120" w:type="dxa"/>
            </w:tcMar>
            <w:vAlign w:val="center"/>
          </w:tcPr>
          <w:p>
            <w:pPr>
              <w:spacing w:after="0"/>
            </w:pPr>
            <w:r>
              <w:rPr>
                <w:rFonts w:ascii="Aptos" w:hAnsi="Aptos"/>
                <w:b/>
                <w:i w:val="0"/>
                <w:color w:val="FFFFFF"/>
                <w:sz w:val="18"/>
              </w:rPr>
              <w:t>Best first question</w:t>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24323D"/>
                <w:sz w:val="16"/>
              </w:rPr>
              <w:t>Savings / FD / RD</w:t>
            </w:r>
          </w:p>
        </w:tc>
        <w:tc>
          <w:tcPr>
            <w:tcW w:type="dxa" w:w="1650"/>
            <w:tcMar>
              <w:top w:w="90" w:type="dxa"/>
              <w:start w:w="120" w:type="dxa"/>
              <w:bottom w:w="90" w:type="dxa"/>
              <w:end w:w="120" w:type="dxa"/>
            </w:tcMar>
            <w:vAlign w:val="center"/>
          </w:tcPr>
          <w:p>
            <w:pPr>
              <w:spacing w:after="0" w:line="252" w:lineRule="auto"/>
            </w:pPr>
            <w:r>
              <w:rPr>
                <w:rFonts w:ascii="Aptos" w:hAnsi="Aptos"/>
                <w:b w:val="0"/>
                <w:i w:val="0"/>
                <w:color w:val="24323D"/>
                <w:sz w:val="16"/>
              </w:rPr>
              <w:t>Generally high, subject to bank and deposit-cover rules</w:t>
            </w:r>
          </w:p>
        </w:tc>
        <w:tc>
          <w:tcPr>
            <w:tcW w:type="dxa" w:w="1500"/>
            <w:tcMar>
              <w:top w:w="90" w:type="dxa"/>
              <w:start w:w="120" w:type="dxa"/>
              <w:bottom w:w="90" w:type="dxa"/>
              <w:end w:w="120" w:type="dxa"/>
            </w:tcMar>
            <w:vAlign w:val="center"/>
          </w:tcPr>
          <w:p>
            <w:pPr>
              <w:spacing w:after="0" w:line="252" w:lineRule="auto"/>
            </w:pPr>
            <w:r>
              <w:rPr>
                <w:rFonts w:ascii="Aptos" w:hAnsi="Aptos"/>
                <w:b w:val="0"/>
                <w:i w:val="0"/>
                <w:color w:val="24323D"/>
                <w:sz w:val="16"/>
              </w:rPr>
              <w:t>High to medium</w:t>
            </w:r>
          </w:p>
        </w:tc>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6"/>
              </w:rPr>
              <w:t>Low to moderate</w:t>
            </w:r>
          </w:p>
        </w:tc>
        <w:tc>
          <w:tcPr>
            <w:tcW w:type="dxa" w:w="2498"/>
            <w:tcMar>
              <w:top w:w="90" w:type="dxa"/>
              <w:start w:w="120" w:type="dxa"/>
              <w:bottom w:w="90" w:type="dxa"/>
              <w:end w:w="120" w:type="dxa"/>
            </w:tcMar>
            <w:vAlign w:val="center"/>
          </w:tcPr>
          <w:p>
            <w:pPr>
              <w:spacing w:after="0" w:line="252" w:lineRule="auto"/>
            </w:pPr>
            <w:r>
              <w:rPr>
                <w:rFonts w:ascii="Aptos" w:hAnsi="Aptos"/>
                <w:b w:val="0"/>
                <w:i w:val="0"/>
                <w:color w:val="24323D"/>
                <w:sz w:val="16"/>
              </w:rPr>
              <w:t>When will I need the money?</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Government small savings</w:t>
            </w:r>
          </w:p>
        </w:tc>
        <w:tc>
          <w:tcPr>
            <w:tcW w:type="dxa" w:w="16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Rule-based / sovereign-backed as notified</w:t>
            </w:r>
          </w:p>
        </w:tc>
        <w:tc>
          <w:tcPr>
            <w:tcW w:type="dxa" w:w="1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Often restricted</w:t>
            </w:r>
          </w:p>
        </w:tc>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Defined or notified</w:t>
            </w:r>
          </w:p>
        </w:tc>
        <w:tc>
          <w:tcPr>
            <w:tcW w:type="dxa" w:w="2498"/>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Can I accept the lock-in and conditions?</w:t>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24323D"/>
                <w:sz w:val="16"/>
              </w:rPr>
              <w:t>Bonds</w:t>
            </w:r>
          </w:p>
        </w:tc>
        <w:tc>
          <w:tcPr>
            <w:tcW w:type="dxa" w:w="1650"/>
            <w:tcMar>
              <w:top w:w="90" w:type="dxa"/>
              <w:start w:w="120" w:type="dxa"/>
              <w:bottom w:w="90" w:type="dxa"/>
              <w:end w:w="120" w:type="dxa"/>
            </w:tcMar>
            <w:vAlign w:val="center"/>
          </w:tcPr>
          <w:p>
            <w:pPr>
              <w:spacing w:after="0" w:line="252" w:lineRule="auto"/>
            </w:pPr>
            <w:r>
              <w:rPr>
                <w:rFonts w:ascii="Aptos" w:hAnsi="Aptos"/>
                <w:b w:val="0"/>
                <w:i w:val="0"/>
                <w:color w:val="24323D"/>
                <w:sz w:val="16"/>
              </w:rPr>
              <w:t>Depends on issuer and structure</w:t>
            </w:r>
          </w:p>
        </w:tc>
        <w:tc>
          <w:tcPr>
            <w:tcW w:type="dxa" w:w="1500"/>
            <w:tcMar>
              <w:top w:w="90" w:type="dxa"/>
              <w:start w:w="120" w:type="dxa"/>
              <w:bottom w:w="90" w:type="dxa"/>
              <w:end w:w="120" w:type="dxa"/>
            </w:tcMar>
            <w:vAlign w:val="center"/>
          </w:tcPr>
          <w:p>
            <w:pPr>
              <w:spacing w:after="0" w:line="252" w:lineRule="auto"/>
            </w:pPr>
            <w:r>
              <w:rPr>
                <w:rFonts w:ascii="Aptos" w:hAnsi="Aptos"/>
                <w:b w:val="0"/>
                <w:i w:val="0"/>
                <w:color w:val="24323D"/>
                <w:sz w:val="16"/>
              </w:rPr>
              <w:t>Varies</w:t>
            </w:r>
          </w:p>
        </w:tc>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6"/>
              </w:rPr>
              <w:t>Usually defined, not guaranteed against default</w:t>
            </w:r>
          </w:p>
        </w:tc>
        <w:tc>
          <w:tcPr>
            <w:tcW w:type="dxa" w:w="2498"/>
            <w:tcMar>
              <w:top w:w="90" w:type="dxa"/>
              <w:start w:w="120" w:type="dxa"/>
              <w:bottom w:w="90" w:type="dxa"/>
              <w:end w:w="120" w:type="dxa"/>
            </w:tcMar>
            <w:vAlign w:val="center"/>
          </w:tcPr>
          <w:p>
            <w:pPr>
              <w:spacing w:after="0" w:line="252" w:lineRule="auto"/>
            </w:pPr>
            <w:r>
              <w:rPr>
                <w:rFonts w:ascii="Aptos" w:hAnsi="Aptos"/>
                <w:b w:val="0"/>
                <w:i w:val="0"/>
                <w:color w:val="24323D"/>
                <w:sz w:val="16"/>
              </w:rPr>
              <w:t>Who owes me the money?</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Mutual funds / ETFs</w:t>
            </w:r>
          </w:p>
        </w:tc>
        <w:tc>
          <w:tcPr>
            <w:tcW w:type="dxa" w:w="16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Market-linked</w:t>
            </w:r>
          </w:p>
        </w:tc>
        <w:tc>
          <w:tcPr>
            <w:tcW w:type="dxa" w:w="1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Varies by product</w:t>
            </w:r>
          </w:p>
        </w:tc>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Varies by underlying assets</w:t>
            </w:r>
          </w:p>
        </w:tc>
        <w:tc>
          <w:tcPr>
            <w:tcW w:type="dxa" w:w="2498"/>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Does the scheme match my horizon and risk?</w:t>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24323D"/>
                <w:sz w:val="16"/>
              </w:rPr>
              <w:t>Direct shares</w:t>
            </w:r>
          </w:p>
        </w:tc>
        <w:tc>
          <w:tcPr>
            <w:tcW w:type="dxa" w:w="1650"/>
            <w:tcMar>
              <w:top w:w="90" w:type="dxa"/>
              <w:start w:w="120" w:type="dxa"/>
              <w:bottom w:w="90" w:type="dxa"/>
              <w:end w:w="120" w:type="dxa"/>
            </w:tcMar>
            <w:vAlign w:val="center"/>
          </w:tcPr>
          <w:p>
            <w:pPr>
              <w:spacing w:after="0" w:line="252" w:lineRule="auto"/>
            </w:pPr>
            <w:r>
              <w:rPr>
                <w:rFonts w:ascii="Aptos" w:hAnsi="Aptos"/>
                <w:b w:val="0"/>
                <w:i w:val="0"/>
                <w:color w:val="24323D"/>
                <w:sz w:val="16"/>
              </w:rPr>
              <w:t>No</w:t>
            </w:r>
          </w:p>
        </w:tc>
        <w:tc>
          <w:tcPr>
            <w:tcW w:type="dxa" w:w="1500"/>
            <w:tcMar>
              <w:top w:w="90" w:type="dxa"/>
              <w:start w:w="120" w:type="dxa"/>
              <w:bottom w:w="90" w:type="dxa"/>
              <w:end w:w="120" w:type="dxa"/>
            </w:tcMar>
            <w:vAlign w:val="center"/>
          </w:tcPr>
          <w:p>
            <w:pPr>
              <w:spacing w:after="0" w:line="252" w:lineRule="auto"/>
            </w:pPr>
            <w:r>
              <w:rPr>
                <w:rFonts w:ascii="Aptos" w:hAnsi="Aptos"/>
                <w:b w:val="0"/>
                <w:i w:val="0"/>
                <w:color w:val="24323D"/>
                <w:sz w:val="16"/>
              </w:rPr>
              <w:t>Exchange liquidity varies</w:t>
            </w:r>
          </w:p>
        </w:tc>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6"/>
              </w:rPr>
              <w:t>High, with high loss potential</w:t>
            </w:r>
          </w:p>
        </w:tc>
        <w:tc>
          <w:tcPr>
            <w:tcW w:type="dxa" w:w="2498"/>
            <w:tcMar>
              <w:top w:w="90" w:type="dxa"/>
              <w:start w:w="120" w:type="dxa"/>
              <w:bottom w:w="90" w:type="dxa"/>
              <w:end w:w="120" w:type="dxa"/>
            </w:tcMar>
            <w:vAlign w:val="center"/>
          </w:tcPr>
          <w:p>
            <w:pPr>
              <w:spacing w:after="0" w:line="252" w:lineRule="auto"/>
            </w:pPr>
            <w:r>
              <w:rPr>
                <w:rFonts w:ascii="Aptos" w:hAnsi="Aptos"/>
                <w:b w:val="0"/>
                <w:i w:val="0"/>
                <w:color w:val="24323D"/>
                <w:sz w:val="16"/>
              </w:rPr>
              <w:t>Can I research and diversify responsibly?</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Gold</w:t>
            </w:r>
          </w:p>
        </w:tc>
        <w:tc>
          <w:tcPr>
            <w:tcW w:type="dxa" w:w="16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No</w:t>
            </w:r>
          </w:p>
        </w:tc>
        <w:tc>
          <w:tcPr>
            <w:tcW w:type="dxa" w:w="1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Form-dependent</w:t>
            </w:r>
          </w:p>
        </w:tc>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Market-linked</w:t>
            </w:r>
          </w:p>
        </w:tc>
        <w:tc>
          <w:tcPr>
            <w:tcW w:type="dxa" w:w="2498"/>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Why am I adding gold?</w:t>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24323D"/>
                <w:sz w:val="16"/>
              </w:rPr>
              <w:t>Property / REITs</w:t>
            </w:r>
          </w:p>
        </w:tc>
        <w:tc>
          <w:tcPr>
            <w:tcW w:type="dxa" w:w="1650"/>
            <w:tcMar>
              <w:top w:w="90" w:type="dxa"/>
              <w:start w:w="120" w:type="dxa"/>
              <w:bottom w:w="90" w:type="dxa"/>
              <w:end w:w="120" w:type="dxa"/>
            </w:tcMar>
            <w:vAlign w:val="center"/>
          </w:tcPr>
          <w:p>
            <w:pPr>
              <w:spacing w:after="0" w:line="252" w:lineRule="auto"/>
            </w:pPr>
            <w:r>
              <w:rPr>
                <w:rFonts w:ascii="Aptos" w:hAnsi="Aptos"/>
                <w:b w:val="0"/>
                <w:i w:val="0"/>
                <w:color w:val="24323D"/>
                <w:sz w:val="16"/>
              </w:rPr>
              <w:t>No</w:t>
            </w:r>
          </w:p>
        </w:tc>
        <w:tc>
          <w:tcPr>
            <w:tcW w:type="dxa" w:w="1500"/>
            <w:tcMar>
              <w:top w:w="90" w:type="dxa"/>
              <w:start w:w="120" w:type="dxa"/>
              <w:bottom w:w="90" w:type="dxa"/>
              <w:end w:w="120" w:type="dxa"/>
            </w:tcMar>
            <w:vAlign w:val="center"/>
          </w:tcPr>
          <w:p>
            <w:pPr>
              <w:spacing w:after="0" w:line="252" w:lineRule="auto"/>
            </w:pPr>
            <w:r>
              <w:rPr>
                <w:rFonts w:ascii="Aptos" w:hAnsi="Aptos"/>
                <w:b w:val="0"/>
                <w:i w:val="0"/>
                <w:color w:val="24323D"/>
                <w:sz w:val="16"/>
              </w:rPr>
              <w:t>Low for property; market-linked for REITs</w:t>
            </w:r>
          </w:p>
        </w:tc>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6"/>
              </w:rPr>
              <w:t>Income and/or appreciation possible</w:t>
            </w:r>
          </w:p>
        </w:tc>
        <w:tc>
          <w:tcPr>
            <w:tcW w:type="dxa" w:w="2498"/>
            <w:tcMar>
              <w:top w:w="90" w:type="dxa"/>
              <w:start w:w="120" w:type="dxa"/>
              <w:bottom w:w="90" w:type="dxa"/>
              <w:end w:w="120" w:type="dxa"/>
            </w:tcMar>
            <w:vAlign w:val="center"/>
          </w:tcPr>
          <w:p>
            <w:pPr>
              <w:spacing w:after="0" w:line="252" w:lineRule="auto"/>
            </w:pPr>
            <w:r>
              <w:rPr>
                <w:rFonts w:ascii="Aptos" w:hAnsi="Aptos"/>
                <w:b w:val="0"/>
                <w:i w:val="0"/>
                <w:color w:val="24323D"/>
                <w:sz w:val="16"/>
              </w:rPr>
              <w:t>Can I handle concentration and liquidity?</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Insurance</w:t>
            </w:r>
          </w:p>
        </w:tc>
        <w:tc>
          <w:tcPr>
            <w:tcW w:type="dxa" w:w="16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Not primarily an investment</w:t>
            </w:r>
          </w:p>
        </w:tc>
        <w:tc>
          <w:tcPr>
            <w:tcW w:type="dxa" w:w="1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Claims depend on contract</w:t>
            </w:r>
          </w:p>
        </w:tc>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Protection benefit</w:t>
            </w:r>
          </w:p>
        </w:tc>
        <w:tc>
          <w:tcPr>
            <w:tcW w:type="dxa" w:w="2498"/>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What risk am I transferring?</w:t>
            </w:r>
          </w:p>
        </w:tc>
      </w:tr>
    </w:tbl>
    <w:p>
      <w:pPr>
        <w:widowControl/>
        <w:spacing w:after="20"/>
      </w:pPr>
    </w:p>
    <w:p>
      <w:pPr>
        <w:pStyle w:val="Heading1"/>
        <w:keepNext/>
        <w:widowControl/>
      </w:pPr>
      <w:r>
        <w:t>Common mistakes</w:t>
      </w:r>
    </w:p>
    <w:p>
      <w:pPr>
        <w:pStyle w:val="ListBullet"/>
        <w:widowControl/>
        <w:spacing w:after="60"/>
        <w:ind w:left="504" w:hanging="259"/>
      </w:pPr>
      <w:r>
        <w:rPr>
          <w:rFonts w:ascii="Aptos" w:hAnsi="Aptos"/>
          <w:b w:val="0"/>
          <w:i w:val="0"/>
          <w:color w:val="24323D"/>
          <w:sz w:val="20"/>
        </w:rPr>
        <w:t>Choosing a product because a friend earned well from it.</w:t>
      </w:r>
    </w:p>
    <w:p>
      <w:pPr>
        <w:pStyle w:val="ListBullet"/>
        <w:widowControl/>
        <w:spacing w:after="60"/>
        <w:ind w:left="504" w:hanging="259"/>
      </w:pPr>
      <w:r>
        <w:rPr>
          <w:rFonts w:ascii="Aptos" w:hAnsi="Aptos"/>
          <w:b w:val="0"/>
          <w:i w:val="0"/>
          <w:color w:val="24323D"/>
          <w:sz w:val="20"/>
        </w:rPr>
        <w:t>Using emergency money for a long lock-in or volatile investment.</w:t>
      </w:r>
    </w:p>
    <w:p>
      <w:pPr>
        <w:pStyle w:val="ListBullet"/>
        <w:widowControl/>
        <w:spacing w:after="60"/>
        <w:ind w:left="504" w:hanging="259"/>
      </w:pPr>
      <w:r>
        <w:rPr>
          <w:rFonts w:ascii="Aptos" w:hAnsi="Aptos"/>
          <w:b w:val="0"/>
          <w:i w:val="0"/>
          <w:color w:val="24323D"/>
          <w:sz w:val="20"/>
        </w:rPr>
        <w:t>Comparing headline returns while ignoring tax, fees, inflation and risk.</w:t>
      </w:r>
    </w:p>
    <w:p>
      <w:pPr>
        <w:pStyle w:val="ListBullet"/>
        <w:widowControl/>
        <w:spacing w:after="60"/>
        <w:ind w:left="504" w:hanging="259"/>
      </w:pPr>
      <w:r>
        <w:rPr>
          <w:rFonts w:ascii="Aptos" w:hAnsi="Aptos"/>
          <w:b w:val="0"/>
          <w:i w:val="0"/>
          <w:color w:val="24323D"/>
          <w:sz w:val="20"/>
        </w:rPr>
        <w:t>Buying too many products and losing track of nominations, statements and goals.</w:t>
      </w:r>
    </w:p>
    <w:p>
      <w:pPr>
        <w:pStyle w:val="ListBullet"/>
        <w:widowControl/>
        <w:spacing w:after="60"/>
        <w:ind w:left="504" w:hanging="259"/>
      </w:pPr>
      <w:r>
        <w:rPr>
          <w:rFonts w:ascii="Aptos" w:hAnsi="Aptos"/>
          <w:b w:val="0"/>
          <w:i w:val="0"/>
          <w:color w:val="24323D"/>
          <w:sz w:val="20"/>
        </w:rPr>
        <w:t>Assuming “government-related,” “bank-sold” or “regulated” means “guaranteed profit.”</w:t>
      </w:r>
    </w:p>
    <w:p>
      <w:pPr>
        <w:pStyle w:val="ListBullet"/>
        <w:widowControl/>
        <w:spacing w:after="60"/>
        <w:ind w:left="504" w:hanging="259"/>
      </w:pPr>
      <w:r>
        <w:rPr>
          <w:rFonts w:ascii="Aptos" w:hAnsi="Aptos"/>
          <w:b w:val="0"/>
          <w:i w:val="0"/>
          <w:color w:val="24323D"/>
          <w:sz w:val="20"/>
        </w:rPr>
        <w:t>Signing forms without keeping a copy or checking what was actually purchased.</w:t>
      </w:r>
    </w:p>
    <w:tbl>
      <w:tblPr>
        <w:tblW w:type="auto" w:w="0"/>
        <w:jc w:val="center"/>
        <w:tblLayout w:type="fixed"/>
        <w:tblLook w:firstColumn="1" w:firstRow="1" w:lastColumn="0" w:lastRow="0" w:noHBand="0" w:noVBand="1" w:val="04A0"/>
      </w:tblPr>
      <w:tblGrid>
        <w:gridCol w:w="9648"/>
      </w:tblGrid>
      <w:tr>
        <w:tc>
          <w:tcPr>
            <w:tcW w:type="dxa" w:w="9400"/>
            <w:shd w:fill="EAF3F2"/>
            <w:tcMar>
              <w:top w:w="150" w:type="dxa"/>
              <w:start w:w="180" w:type="dxa"/>
              <w:bottom w:w="150" w:type="dxa"/>
              <w:end w:w="180" w:type="dxa"/>
            </w:tcMar>
          </w:tcPr>
          <w:p>
            <w:pPr>
              <w:spacing w:after="80"/>
            </w:pPr>
            <w:r>
              <w:rPr>
                <w:rFonts w:ascii="Aptos" w:hAnsi="Aptos"/>
                <w:b/>
                <w:i w:val="0"/>
                <w:color w:val="3E8C84"/>
                <w:sz w:val="18"/>
              </w:rPr>
              <w:t>REMEMBER THIS</w:t>
            </w:r>
          </w:p>
          <w:p>
            <w:pPr>
              <w:spacing w:after="0"/>
            </w:pPr>
            <w:r>
              <w:rPr>
                <w:rFonts w:ascii="Aptos" w:hAnsi="Aptos"/>
                <w:b w:val="0"/>
                <w:i w:val="0"/>
                <w:color w:val="24323D"/>
                <w:sz w:val="20"/>
              </w:rPr>
              <w:t>The “best” product does not exist in isolation. A suitable product is one whose purpose, time horizon, access, risk, cost and tax treatment fit the job you have given your money.</w:t>
            </w:r>
          </w:p>
        </w:tc>
      </w:tr>
    </w:tbl>
    <w:p>
      <w:pPr>
        <w:widowControl/>
        <w:spacing w:after="20"/>
      </w:pPr>
    </w:p>
    <w:tbl>
      <w:tblPr>
        <w:tblW w:type="auto" w:w="0"/>
        <w:jc w:val="center"/>
        <w:tblLayout w:type="fixed"/>
        <w:tblLook w:firstColumn="1" w:firstRow="1" w:lastColumn="0" w:lastRow="0" w:noHBand="0" w:noVBand="1" w:val="04A0"/>
      </w:tblPr>
      <w:tblGrid>
        <w:gridCol w:w="9648"/>
      </w:tblGrid>
      <w:tr>
        <w:tc>
          <w:tcPr>
            <w:tcW w:type="dxa" w:w="9400"/>
            <w:shd w:fill="EAF3F2"/>
            <w:tcMar>
              <w:top w:w="150" w:type="dxa"/>
              <w:start w:w="180" w:type="dxa"/>
              <w:bottom w:w="150" w:type="dxa"/>
              <w:end w:w="180" w:type="dxa"/>
            </w:tcMar>
          </w:tcPr>
          <w:p>
            <w:pPr>
              <w:spacing w:after="80"/>
            </w:pPr>
            <w:r>
              <w:rPr>
                <w:rFonts w:ascii="Aptos" w:hAnsi="Aptos"/>
                <w:b/>
                <w:i w:val="0"/>
                <w:color w:val="3E8C84"/>
                <w:sz w:val="18"/>
              </w:rPr>
              <w:t>TRY THIS TODAY</w:t>
            </w:r>
          </w:p>
          <w:p>
            <w:pPr>
              <w:spacing w:after="0"/>
            </w:pPr>
            <w:r>
              <w:rPr>
                <w:rFonts w:ascii="Aptos" w:hAnsi="Aptos"/>
                <w:b w:val="0"/>
                <w:i w:val="0"/>
                <w:color w:val="24323D"/>
                <w:sz w:val="20"/>
              </w:rPr>
              <w:t>Choose one financial product you already own. Write down: its purpose, when you may need the money, how quickly you can access it, what could cause a loss, all charges, and the nomination status. If any answer is missing, your next step is to find it—not to buy something new.</w:t>
            </w:r>
          </w:p>
        </w:tc>
      </w:tr>
    </w:tbl>
    <w:p>
      <w:pPr>
        <w:widowControl/>
        <w:spacing w:after="20"/>
      </w:pPr>
    </w:p>
    <w:p>
      <w:pPr>
        <w:pStyle w:val="Heading1"/>
        <w:keepNext/>
        <w:widowControl/>
      </w:pPr>
      <w:r>
        <w:t>Before you buy: a calm checklist</w:t>
      </w:r>
    </w:p>
    <w:p>
      <w:pPr>
        <w:pStyle w:val="ListBullet"/>
        <w:widowControl/>
        <w:spacing w:after="60"/>
        <w:ind w:left="504" w:hanging="259"/>
      </w:pPr>
      <w:r>
        <w:rPr>
          <w:rFonts w:ascii="Aptos" w:hAnsi="Aptos"/>
          <w:b w:val="0"/>
          <w:i w:val="0"/>
          <w:color w:val="24323D"/>
          <w:sz w:val="20"/>
        </w:rPr>
        <w:t>I can explain the product in two sentences.</w:t>
      </w:r>
    </w:p>
    <w:p>
      <w:pPr>
        <w:pStyle w:val="ListBullet"/>
        <w:widowControl/>
        <w:spacing w:after="60"/>
        <w:ind w:left="504" w:hanging="259"/>
      </w:pPr>
      <w:r>
        <w:rPr>
          <w:rFonts w:ascii="Aptos" w:hAnsi="Aptos"/>
          <w:b w:val="0"/>
          <w:i w:val="0"/>
          <w:color w:val="24323D"/>
          <w:sz w:val="20"/>
        </w:rPr>
        <w:t>I know whether returns are fixed, variable or merely illustrated.</w:t>
      </w:r>
    </w:p>
    <w:p>
      <w:pPr>
        <w:pStyle w:val="ListBullet"/>
        <w:widowControl/>
        <w:spacing w:after="60"/>
        <w:ind w:left="504" w:hanging="259"/>
      </w:pPr>
      <w:r>
        <w:rPr>
          <w:rFonts w:ascii="Aptos" w:hAnsi="Aptos"/>
          <w:b w:val="0"/>
          <w:i w:val="0"/>
          <w:color w:val="24323D"/>
          <w:sz w:val="20"/>
        </w:rPr>
        <w:t>I understand lock-in, exit and premature-closure rules.</w:t>
      </w:r>
    </w:p>
    <w:p>
      <w:pPr>
        <w:pStyle w:val="ListBullet"/>
        <w:widowControl/>
        <w:spacing w:after="60"/>
        <w:ind w:left="504" w:hanging="259"/>
      </w:pPr>
      <w:r>
        <w:rPr>
          <w:rFonts w:ascii="Aptos" w:hAnsi="Aptos"/>
          <w:b w:val="0"/>
          <w:i w:val="0"/>
          <w:color w:val="24323D"/>
          <w:sz w:val="20"/>
        </w:rPr>
        <w:t>I have checked risk, fees, tax treatment and nomination.</w:t>
      </w:r>
    </w:p>
    <w:p>
      <w:pPr>
        <w:pStyle w:val="ListBullet"/>
        <w:widowControl/>
        <w:spacing w:after="60"/>
        <w:ind w:left="504" w:hanging="259"/>
      </w:pPr>
      <w:r>
        <w:rPr>
          <w:rFonts w:ascii="Aptos" w:hAnsi="Aptos"/>
          <w:b w:val="0"/>
          <w:i w:val="0"/>
          <w:color w:val="24323D"/>
          <w:sz w:val="20"/>
        </w:rPr>
        <w:t>The intermediary is appropriately regulated or authorised.</w:t>
      </w:r>
    </w:p>
    <w:p>
      <w:pPr>
        <w:pStyle w:val="ListBullet"/>
        <w:widowControl/>
        <w:spacing w:after="60"/>
        <w:ind w:left="504" w:hanging="259"/>
      </w:pPr>
      <w:r>
        <w:rPr>
          <w:rFonts w:ascii="Aptos" w:hAnsi="Aptos"/>
          <w:b w:val="0"/>
          <w:i w:val="0"/>
          <w:color w:val="24323D"/>
          <w:sz w:val="20"/>
        </w:rPr>
        <w:t>I have read the official document, not only a message or sales slide.</w:t>
      </w:r>
    </w:p>
    <w:p>
      <w:pPr>
        <w:pStyle w:val="ListBullet"/>
        <w:widowControl/>
        <w:spacing w:after="60"/>
        <w:ind w:left="504" w:hanging="259"/>
      </w:pPr>
      <w:r>
        <w:rPr>
          <w:rFonts w:ascii="Aptos" w:hAnsi="Aptos"/>
          <w:b w:val="0"/>
          <w:i w:val="0"/>
          <w:color w:val="24323D"/>
          <w:sz w:val="20"/>
        </w:rPr>
        <w:t>I am not borrowing or using emergency money to invest.</w:t>
      </w:r>
    </w:p>
    <w:p>
      <w:pPr>
        <w:pStyle w:val="ListBullet"/>
        <w:widowControl/>
        <w:spacing w:after="60"/>
        <w:ind w:left="504" w:hanging="259"/>
      </w:pPr>
      <w:r>
        <w:rPr>
          <w:rFonts w:ascii="Aptos" w:hAnsi="Aptos"/>
          <w:b w:val="0"/>
          <w:i w:val="0"/>
          <w:color w:val="24323D"/>
          <w:sz w:val="20"/>
        </w:rPr>
        <w:t>I can say “no” and take time to decide.</w:t>
      </w:r>
    </w:p>
    <w:p>
      <w:pPr>
        <w:widowControl/>
      </w:pPr>
      <w:r>
        <w:br w:type="page"/>
      </w:r>
    </w:p>
    <w:p>
      <w:pPr>
        <w:pStyle w:val="MVKicker"/>
        <w:keepNext/>
        <w:widowControl/>
      </w:pPr>
      <w:r>
        <w:rPr>
          <w:rFonts w:ascii="Aptos" w:hAnsi="Aptos"/>
          <w:b w:val="0"/>
          <w:i w:val="0"/>
          <w:color w:val="24323D"/>
          <w:sz w:val="21"/>
        </w:rPr>
        <w:t>CHAPTER 17</w:t>
      </w:r>
    </w:p>
    <w:p>
      <w:pPr>
        <w:pStyle w:val="Title"/>
        <w:keepNext/>
        <w:widowControl/>
      </w:pPr>
      <w:r>
        <w:t>Government Schemes Every Indian Mother Should Know</w:t>
      </w:r>
    </w:p>
    <w:p>
      <w:pPr>
        <w:pStyle w:val="MVQuote"/>
        <w:widowControl/>
      </w:pPr>
      <w:r>
        <w:rPr>
          <w:rFonts w:ascii="Aptos" w:hAnsi="Aptos"/>
          <w:b w:val="0"/>
          <w:i/>
          <w:color w:val="24323D"/>
          <w:sz w:val="21"/>
        </w:rPr>
        <w:t>“A scheme is an option to understand—not a box every family must tick.”</w:t>
      </w:r>
    </w:p>
    <w:p>
      <w:pPr>
        <w:widowControl/>
      </w:pPr>
      <w:r>
        <w:rPr>
          <w:rFonts w:ascii="Aptos" w:hAnsi="Aptos"/>
          <w:b w:val="0"/>
          <w:i w:val="0"/>
          <w:color w:val="24323D"/>
          <w:sz w:val="21"/>
        </w:rPr>
        <w:t>When Kavita opened a folder of family papers, she found a PPF passbook, an old insurance certificate, her daughter’s Sukanya account details and a note about NPS. She knew the names. She did not know what each one was for.</w:t>
      </w:r>
    </w:p>
    <w:p>
      <w:pPr>
        <w:widowControl/>
      </w:pPr>
      <w:r>
        <w:rPr>
          <w:rFonts w:ascii="Aptos" w:hAnsi="Aptos"/>
          <w:b w:val="0"/>
          <w:i w:val="0"/>
          <w:color w:val="24323D"/>
          <w:sz w:val="21"/>
        </w:rPr>
        <w:t>Her confusion was not carelessness. Government schemes are often discussed as if the label itself explains the product. It does not. The useful question is: What job was this scheme designed to do, who is eligible, and what rules make the money less flexible?</w:t>
      </w:r>
    </w:p>
    <w:tbl>
      <w:tblPr>
        <w:tblW w:type="auto" w:w="0"/>
        <w:jc w:val="center"/>
        <w:tblLayout w:type="fixed"/>
        <w:tblLook w:firstColumn="1" w:firstRow="1" w:lastColumn="0" w:lastRow="0" w:noHBand="0" w:noVBand="1" w:val="04A0"/>
      </w:tblPr>
      <w:tblGrid>
        <w:gridCol w:w="9648"/>
      </w:tblGrid>
      <w:tr>
        <w:tc>
          <w:tcPr>
            <w:tcW w:type="dxa" w:w="9400"/>
            <w:shd w:fill="EAF3F2"/>
            <w:tcMar>
              <w:top w:w="150" w:type="dxa"/>
              <w:start w:w="180" w:type="dxa"/>
              <w:bottom w:w="150" w:type="dxa"/>
              <w:end w:w="180" w:type="dxa"/>
            </w:tcMar>
          </w:tcPr>
          <w:p>
            <w:pPr>
              <w:spacing w:after="80"/>
            </w:pPr>
            <w:r>
              <w:rPr>
                <w:rFonts w:ascii="Aptos" w:hAnsi="Aptos"/>
                <w:b/>
                <w:i w:val="0"/>
                <w:color w:val="3E8C84"/>
                <w:sz w:val="18"/>
              </w:rPr>
              <w:t>EDITION NOTE</w:t>
            </w:r>
          </w:p>
          <w:p>
            <w:pPr>
              <w:spacing w:after="0"/>
            </w:pPr>
            <w:r>
              <w:rPr>
                <w:rFonts w:ascii="Aptos" w:hAnsi="Aptos"/>
                <w:b w:val="0"/>
                <w:i w:val="0"/>
                <w:color w:val="24323D"/>
                <w:sz w:val="20"/>
              </w:rPr>
              <w:t>This chapter describes broad rules verified from official portals on 22 July 2026. Small-savings interest rates are notified periodically; premiums, contribution rules, tax treatment and eligibility can change. Check the official portal before opening, renewing or claiming.</w:t>
            </w:r>
          </w:p>
        </w:tc>
      </w:tr>
    </w:tbl>
    <w:p>
      <w:pPr>
        <w:widowControl/>
        <w:spacing w:after="20"/>
      </w:pPr>
    </w:p>
    <w:p>
      <w:pPr>
        <w:pStyle w:val="Heading1"/>
        <w:keepNext/>
        <w:widowControl/>
      </w:pPr>
      <w:r>
        <w:t>A map before the details</w:t>
      </w:r>
    </w:p>
    <w:tbl>
      <w:tblPr>
        <w:tblStyle w:val="TableGrid"/>
        <w:tblW w:type="dxa" w:w="9648"/>
        <w:jc w:val="center"/>
        <w:tblLayout w:type="fixed"/>
        <w:tblLook w:firstColumn="1" w:firstRow="1" w:lastColumn="0" w:lastRow="0" w:noHBand="0" w:noVBand="1" w:val="04A0"/>
      </w:tblPr>
      <w:tblGrid>
        <w:gridCol w:w="2100"/>
        <w:gridCol w:w="3000"/>
        <w:gridCol w:w="4548"/>
      </w:tblGrid>
      <w:tr>
        <w:trPr>
          <w:tblHeader w:val="true"/>
        </w:trPr>
        <w:tc>
          <w:tcPr>
            <w:tcW w:type="dxa" w:w="2100"/>
            <w:shd w:fill="24445C"/>
            <w:tcMar>
              <w:top w:w="90" w:type="dxa"/>
              <w:start w:w="120" w:type="dxa"/>
              <w:bottom w:w="90" w:type="dxa"/>
              <w:end w:w="120" w:type="dxa"/>
            </w:tcMar>
            <w:vAlign w:val="center"/>
          </w:tcPr>
          <w:p>
            <w:pPr>
              <w:spacing w:after="0"/>
            </w:pPr>
            <w:r>
              <w:rPr>
                <w:rFonts w:ascii="Aptos" w:hAnsi="Aptos"/>
                <w:b/>
                <w:i w:val="0"/>
                <w:color w:val="FFFFFF"/>
                <w:sz w:val="18"/>
              </w:rPr>
              <w:t>Scheme</w:t>
            </w:r>
          </w:p>
        </w:tc>
        <w:tc>
          <w:tcPr>
            <w:tcW w:type="dxa" w:w="3000"/>
            <w:shd w:fill="24445C"/>
            <w:tcMar>
              <w:top w:w="90" w:type="dxa"/>
              <w:start w:w="120" w:type="dxa"/>
              <w:bottom w:w="90" w:type="dxa"/>
              <w:end w:w="120" w:type="dxa"/>
            </w:tcMar>
            <w:vAlign w:val="center"/>
          </w:tcPr>
          <w:p>
            <w:pPr>
              <w:spacing w:after="0"/>
            </w:pPr>
            <w:r>
              <w:rPr>
                <w:rFonts w:ascii="Aptos" w:hAnsi="Aptos"/>
                <w:b/>
                <w:i w:val="0"/>
                <w:color w:val="FFFFFF"/>
                <w:sz w:val="18"/>
              </w:rPr>
              <w:t>Main job</w:t>
            </w:r>
          </w:p>
        </w:tc>
        <w:tc>
          <w:tcPr>
            <w:tcW w:type="dxa" w:w="4548"/>
            <w:shd w:fill="24445C"/>
            <w:tcMar>
              <w:top w:w="90" w:type="dxa"/>
              <w:start w:w="120" w:type="dxa"/>
              <w:bottom w:w="90" w:type="dxa"/>
              <w:end w:w="120" w:type="dxa"/>
            </w:tcMar>
            <w:vAlign w:val="center"/>
          </w:tcPr>
          <w:p>
            <w:pPr>
              <w:spacing w:after="0"/>
            </w:pPr>
            <w:r>
              <w:rPr>
                <w:rFonts w:ascii="Aptos" w:hAnsi="Aptos"/>
                <w:b/>
                <w:i w:val="0"/>
                <w:color w:val="FFFFFF"/>
                <w:sz w:val="18"/>
              </w:rPr>
              <w:t>Who should learn about it</w:t>
            </w:r>
          </w:p>
        </w:tc>
      </w:tr>
      <w:tr>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6"/>
              </w:rPr>
              <w:t>PPF</w:t>
            </w:r>
          </w:p>
        </w:tc>
        <w:tc>
          <w:tcPr>
            <w:tcW w:type="dxa" w:w="3000"/>
            <w:tcMar>
              <w:top w:w="90" w:type="dxa"/>
              <w:start w:w="120" w:type="dxa"/>
              <w:bottom w:w="90" w:type="dxa"/>
              <w:end w:w="120" w:type="dxa"/>
            </w:tcMar>
            <w:vAlign w:val="center"/>
          </w:tcPr>
          <w:p>
            <w:pPr>
              <w:spacing w:after="0" w:line="252" w:lineRule="auto"/>
            </w:pPr>
            <w:r>
              <w:rPr>
                <w:rFonts w:ascii="Aptos" w:hAnsi="Aptos"/>
                <w:b w:val="0"/>
                <w:i w:val="0"/>
                <w:color w:val="24323D"/>
                <w:sz w:val="16"/>
              </w:rPr>
              <w:t>Long-term personal savings</w:t>
            </w:r>
          </w:p>
        </w:tc>
        <w:tc>
          <w:tcPr>
            <w:tcW w:type="dxa" w:w="4548"/>
            <w:tcMar>
              <w:top w:w="90" w:type="dxa"/>
              <w:start w:w="120" w:type="dxa"/>
              <w:bottom w:w="90" w:type="dxa"/>
              <w:end w:w="120" w:type="dxa"/>
            </w:tcMar>
            <w:vAlign w:val="center"/>
          </w:tcPr>
          <w:p>
            <w:pPr>
              <w:spacing w:after="0" w:line="252" w:lineRule="auto"/>
            </w:pPr>
            <w:r>
              <w:rPr>
                <w:rFonts w:ascii="Aptos" w:hAnsi="Aptos"/>
                <w:b w:val="0"/>
                <w:i w:val="0"/>
                <w:color w:val="24323D"/>
                <w:sz w:val="16"/>
              </w:rPr>
              <w:t>Adults seeking a long-horizon, rule-based account.</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Sukanya Samriddhi Account</w:t>
            </w:r>
          </w:p>
        </w:tc>
        <w:tc>
          <w:tcPr>
            <w:tcW w:type="dxa" w:w="3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Long-term saving for an eligible girl child</w:t>
            </w:r>
          </w:p>
        </w:tc>
        <w:tc>
          <w:tcPr>
            <w:tcW w:type="dxa" w:w="4548"/>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Guardian of a girl under the prescribed opening age.</w:t>
            </w:r>
          </w:p>
        </w:tc>
      </w:tr>
      <w:tr>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6"/>
              </w:rPr>
              <w:t>EPF / EPS / EDLI</w:t>
            </w:r>
          </w:p>
        </w:tc>
        <w:tc>
          <w:tcPr>
            <w:tcW w:type="dxa" w:w="3000"/>
            <w:tcMar>
              <w:top w:w="90" w:type="dxa"/>
              <w:start w:w="120" w:type="dxa"/>
              <w:bottom w:w="90" w:type="dxa"/>
              <w:end w:w="120" w:type="dxa"/>
            </w:tcMar>
            <w:vAlign w:val="center"/>
          </w:tcPr>
          <w:p>
            <w:pPr>
              <w:spacing w:after="0" w:line="252" w:lineRule="auto"/>
            </w:pPr>
            <w:r>
              <w:rPr>
                <w:rFonts w:ascii="Aptos" w:hAnsi="Aptos"/>
                <w:b w:val="0"/>
                <w:i w:val="0"/>
                <w:color w:val="24323D"/>
                <w:sz w:val="16"/>
              </w:rPr>
              <w:t>Workplace retirement and linked benefits</w:t>
            </w:r>
          </w:p>
        </w:tc>
        <w:tc>
          <w:tcPr>
            <w:tcW w:type="dxa" w:w="4548"/>
            <w:tcMar>
              <w:top w:w="90" w:type="dxa"/>
              <w:start w:w="120" w:type="dxa"/>
              <w:bottom w:w="90" w:type="dxa"/>
              <w:end w:w="120" w:type="dxa"/>
            </w:tcMar>
            <w:vAlign w:val="center"/>
          </w:tcPr>
          <w:p>
            <w:pPr>
              <w:spacing w:after="0" w:line="252" w:lineRule="auto"/>
            </w:pPr>
            <w:r>
              <w:rPr>
                <w:rFonts w:ascii="Aptos" w:hAnsi="Aptos"/>
                <w:b w:val="0"/>
                <w:i w:val="0"/>
                <w:color w:val="24323D"/>
                <w:sz w:val="16"/>
              </w:rPr>
              <w:t>Eligible salaried employees in covered establishments.</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NPS</w:t>
            </w:r>
          </w:p>
        </w:tc>
        <w:tc>
          <w:tcPr>
            <w:tcW w:type="dxa" w:w="3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Retirement investing</w:t>
            </w:r>
          </w:p>
        </w:tc>
        <w:tc>
          <w:tcPr>
            <w:tcW w:type="dxa" w:w="4548"/>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Eligible individuals seeking a regulated pension account.</w:t>
            </w:r>
          </w:p>
        </w:tc>
      </w:tr>
      <w:tr>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6"/>
              </w:rPr>
              <w:t>NPS Vatsalya</w:t>
            </w:r>
          </w:p>
        </w:tc>
        <w:tc>
          <w:tcPr>
            <w:tcW w:type="dxa" w:w="3000"/>
            <w:tcMar>
              <w:top w:w="90" w:type="dxa"/>
              <w:start w:w="120" w:type="dxa"/>
              <w:bottom w:w="90" w:type="dxa"/>
              <w:end w:w="120" w:type="dxa"/>
            </w:tcMar>
            <w:vAlign w:val="center"/>
          </w:tcPr>
          <w:p>
            <w:pPr>
              <w:spacing w:after="0" w:line="252" w:lineRule="auto"/>
            </w:pPr>
            <w:r>
              <w:rPr>
                <w:rFonts w:ascii="Aptos" w:hAnsi="Aptos"/>
                <w:b w:val="0"/>
                <w:i w:val="0"/>
                <w:color w:val="24323D"/>
                <w:sz w:val="16"/>
              </w:rPr>
              <w:t>Pension account for a minor</w:t>
            </w:r>
          </w:p>
        </w:tc>
        <w:tc>
          <w:tcPr>
            <w:tcW w:type="dxa" w:w="4548"/>
            <w:tcMar>
              <w:top w:w="90" w:type="dxa"/>
              <w:start w:w="120" w:type="dxa"/>
              <w:bottom w:w="90" w:type="dxa"/>
              <w:end w:w="120" w:type="dxa"/>
            </w:tcMar>
            <w:vAlign w:val="center"/>
          </w:tcPr>
          <w:p>
            <w:pPr>
              <w:spacing w:after="0" w:line="252" w:lineRule="auto"/>
            </w:pPr>
            <w:r>
              <w:rPr>
                <w:rFonts w:ascii="Aptos" w:hAnsi="Aptos"/>
                <w:b w:val="0"/>
                <w:i w:val="0"/>
                <w:color w:val="24323D"/>
                <w:sz w:val="16"/>
              </w:rPr>
              <w:t>Parents or guardians considering long-term retirement-oriented saving for a child.</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APY</w:t>
            </w:r>
          </w:p>
        </w:tc>
        <w:tc>
          <w:tcPr>
            <w:tcW w:type="dxa" w:w="3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Guaranteed pension slab after 60</w:t>
            </w:r>
          </w:p>
        </w:tc>
        <w:tc>
          <w:tcPr>
            <w:tcW w:type="dxa" w:w="4548"/>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Eligible non-income-taxpayers aged 18–40 with a bank/post-office savings account.</w:t>
            </w:r>
          </w:p>
        </w:tc>
      </w:tr>
      <w:tr>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6"/>
              </w:rPr>
              <w:t>PMJJBY</w:t>
            </w:r>
          </w:p>
        </w:tc>
        <w:tc>
          <w:tcPr>
            <w:tcW w:type="dxa" w:w="3000"/>
            <w:tcMar>
              <w:top w:w="90" w:type="dxa"/>
              <w:start w:w="120" w:type="dxa"/>
              <w:bottom w:w="90" w:type="dxa"/>
              <w:end w:w="120" w:type="dxa"/>
            </w:tcMar>
            <w:vAlign w:val="center"/>
          </w:tcPr>
          <w:p>
            <w:pPr>
              <w:spacing w:after="0" w:line="252" w:lineRule="auto"/>
            </w:pPr>
            <w:r>
              <w:rPr>
                <w:rFonts w:ascii="Aptos" w:hAnsi="Aptos"/>
                <w:b w:val="0"/>
                <w:i w:val="0"/>
                <w:color w:val="24323D"/>
                <w:sz w:val="16"/>
              </w:rPr>
              <w:t>Low-cost renewable life cover</w:t>
            </w:r>
          </w:p>
        </w:tc>
        <w:tc>
          <w:tcPr>
            <w:tcW w:type="dxa" w:w="4548"/>
            <w:tcMar>
              <w:top w:w="90" w:type="dxa"/>
              <w:start w:w="120" w:type="dxa"/>
              <w:bottom w:w="90" w:type="dxa"/>
              <w:end w:w="120" w:type="dxa"/>
            </w:tcMar>
            <w:vAlign w:val="center"/>
          </w:tcPr>
          <w:p>
            <w:pPr>
              <w:spacing w:after="0" w:line="252" w:lineRule="auto"/>
            </w:pPr>
            <w:r>
              <w:rPr>
                <w:rFonts w:ascii="Aptos" w:hAnsi="Aptos"/>
                <w:b w:val="0"/>
                <w:i w:val="0"/>
                <w:color w:val="24323D"/>
                <w:sz w:val="16"/>
              </w:rPr>
              <w:t>Eligible account holders aged 18–50.</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PMSBY</w:t>
            </w:r>
          </w:p>
        </w:tc>
        <w:tc>
          <w:tcPr>
            <w:tcW w:type="dxa" w:w="3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Low-cost renewable accident cover</w:t>
            </w:r>
          </w:p>
        </w:tc>
        <w:tc>
          <w:tcPr>
            <w:tcW w:type="dxa" w:w="4548"/>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Eligible account holders aged 18–70.</w:t>
            </w:r>
          </w:p>
        </w:tc>
      </w:tr>
      <w:tr>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6"/>
              </w:rPr>
              <w:t>NSC / Post Office TD</w:t>
            </w:r>
          </w:p>
        </w:tc>
        <w:tc>
          <w:tcPr>
            <w:tcW w:type="dxa" w:w="3000"/>
            <w:tcMar>
              <w:top w:w="90" w:type="dxa"/>
              <w:start w:w="120" w:type="dxa"/>
              <w:bottom w:w="90" w:type="dxa"/>
              <w:end w:w="120" w:type="dxa"/>
            </w:tcMar>
            <w:vAlign w:val="center"/>
          </w:tcPr>
          <w:p>
            <w:pPr>
              <w:spacing w:after="0" w:line="252" w:lineRule="auto"/>
            </w:pPr>
            <w:r>
              <w:rPr>
                <w:rFonts w:ascii="Aptos" w:hAnsi="Aptos"/>
                <w:b w:val="0"/>
                <w:i w:val="0"/>
                <w:color w:val="24323D"/>
                <w:sz w:val="16"/>
              </w:rPr>
              <w:t>Fixed-term small savings</w:t>
            </w:r>
          </w:p>
        </w:tc>
        <w:tc>
          <w:tcPr>
            <w:tcW w:type="dxa" w:w="4548"/>
            <w:tcMar>
              <w:top w:w="90" w:type="dxa"/>
              <w:start w:w="120" w:type="dxa"/>
              <w:bottom w:w="90" w:type="dxa"/>
              <w:end w:w="120" w:type="dxa"/>
            </w:tcMar>
            <w:vAlign w:val="center"/>
          </w:tcPr>
          <w:p>
            <w:pPr>
              <w:spacing w:after="0" w:line="252" w:lineRule="auto"/>
            </w:pPr>
            <w:r>
              <w:rPr>
                <w:rFonts w:ascii="Aptos" w:hAnsi="Aptos"/>
                <w:b w:val="0"/>
                <w:i w:val="0"/>
                <w:color w:val="24323D"/>
                <w:sz w:val="16"/>
              </w:rPr>
              <w:t>People who understand the lock-in and current tax treatment.</w:t>
            </w:r>
          </w:p>
        </w:tc>
      </w:tr>
    </w:tbl>
    <w:p>
      <w:pPr>
        <w:widowControl/>
        <w:spacing w:after="20"/>
      </w:pPr>
    </w:p>
    <w:p>
      <w:pPr>
        <w:pStyle w:val="Heading1"/>
        <w:keepNext/>
        <w:widowControl/>
      </w:pPr>
      <w:r>
        <w:t>Public Provident Fund (PPF)</w:t>
      </w:r>
    </w:p>
    <w:p>
      <w:pPr>
        <w:widowControl/>
      </w:pPr>
      <w:r>
        <w:rPr>
          <w:rFonts w:ascii="Aptos" w:hAnsi="Aptos"/>
          <w:b w:val="0"/>
          <w:i w:val="0"/>
          <w:color w:val="24323D"/>
          <w:sz w:val="21"/>
        </w:rPr>
        <w:t>PPF is a long-term individual savings account governed by the Public Provident Fund Scheme, 2019. Under the rules checked for this edition, an individual may open an account, and a guardian may open one for a minor. Joint accounts are not permitted. The annual contribution range is ₹500 to ₹1.5 lakh, with the ₹1.5 lakh limit including deposits in the person’s own account and eligible minor account.</w:t>
      </w:r>
    </w:p>
    <w:p>
      <w:pPr>
        <w:widowControl/>
      </w:pPr>
      <w:r>
        <w:rPr>
          <w:rFonts w:ascii="Aptos" w:hAnsi="Aptos"/>
          <w:b w:val="0"/>
          <w:i w:val="0"/>
          <w:color w:val="24323D"/>
          <w:sz w:val="21"/>
        </w:rPr>
        <w:t>The original term is 15 years, with rule-based loans, partial withdrawals and extensions. The interest rate is notified by the Government and can change. PPF’s discipline can be useful for long-term saving; the same restrictions mean it is not a substitute for readily accessible emergency money.</w:t>
      </w:r>
    </w:p>
    <w:p>
      <w:pPr>
        <w:pStyle w:val="MVSource"/>
        <w:widowControl/>
      </w:pPr>
      <w:r>
        <w:rPr>
          <w:rFonts w:ascii="Aptos" w:hAnsi="Aptos"/>
          <w:b w:val="0"/>
          <w:i w:val="0"/>
          <w:color w:val="24323D"/>
          <w:sz w:val="21"/>
        </w:rPr>
        <w:t>Official basis: National Savings Institute, Public Provident Fund Scheme, 2019.</w:t>
      </w:r>
    </w:p>
    <w:tbl>
      <w:tblPr>
        <w:tblStyle w:val="TableGrid"/>
        <w:tblW w:type="dxa" w:w="9648"/>
        <w:jc w:val="center"/>
        <w:tblLayout w:type="fixed"/>
        <w:tblLook w:firstColumn="1" w:firstRow="1" w:lastColumn="0" w:lastRow="0" w:noHBand="0" w:noVBand="1" w:val="04A0"/>
      </w:tblPr>
      <w:tblGrid>
        <w:gridCol w:w="1800"/>
        <w:gridCol w:w="7848"/>
      </w:tblGrid>
      <w:tr>
        <w:trPr>
          <w:tblHeader w:val="true"/>
        </w:trPr>
        <w:tc>
          <w:tcPr>
            <w:tcW w:type="dxa" w:w="1800"/>
            <w:shd w:fill="24445C"/>
            <w:tcMar>
              <w:top w:w="90" w:type="dxa"/>
              <w:start w:w="120" w:type="dxa"/>
              <w:bottom w:w="90" w:type="dxa"/>
              <w:end w:w="120" w:type="dxa"/>
            </w:tcMar>
            <w:vAlign w:val="center"/>
          </w:tcPr>
          <w:p>
            <w:pPr>
              <w:spacing w:after="0"/>
            </w:pPr>
            <w:r>
              <w:rPr>
                <w:rFonts w:ascii="Aptos" w:hAnsi="Aptos"/>
                <w:b/>
                <w:i w:val="0"/>
                <w:color w:val="FFFFFF"/>
                <w:sz w:val="18"/>
              </w:rPr>
              <w:t>Understand</w:t>
            </w:r>
          </w:p>
        </w:tc>
        <w:tc>
          <w:tcPr>
            <w:tcW w:type="dxa" w:w="7848"/>
            <w:shd w:fill="24445C"/>
            <w:tcMar>
              <w:top w:w="90" w:type="dxa"/>
              <w:start w:w="120" w:type="dxa"/>
              <w:bottom w:w="90" w:type="dxa"/>
              <w:end w:w="120" w:type="dxa"/>
            </w:tcMar>
            <w:vAlign w:val="center"/>
          </w:tcPr>
          <w:p>
            <w:pPr>
              <w:spacing w:after="0"/>
            </w:pPr>
            <w:r>
              <w:rPr>
                <w:rFonts w:ascii="Aptos" w:hAnsi="Aptos"/>
                <w:b/>
                <w:i w:val="0"/>
                <w:color w:val="FFFFFF"/>
                <w:sz w:val="18"/>
              </w:rPr>
              <w:t>PPF in simple language</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7"/>
              </w:rPr>
              <w:t>Purpose</w:t>
            </w:r>
          </w:p>
        </w:tc>
        <w:tc>
          <w:tcPr>
            <w:tcW w:type="dxa" w:w="7848"/>
            <w:tcMar>
              <w:top w:w="90" w:type="dxa"/>
              <w:start w:w="120" w:type="dxa"/>
              <w:bottom w:w="90" w:type="dxa"/>
              <w:end w:w="120" w:type="dxa"/>
            </w:tcMar>
            <w:vAlign w:val="center"/>
          </w:tcPr>
          <w:p>
            <w:pPr>
              <w:spacing w:after="0" w:line="252" w:lineRule="auto"/>
            </w:pPr>
            <w:r>
              <w:rPr>
                <w:rFonts w:ascii="Aptos" w:hAnsi="Aptos"/>
                <w:b w:val="0"/>
                <w:i w:val="0"/>
                <w:color w:val="24323D"/>
                <w:sz w:val="17"/>
              </w:rPr>
              <w:t>Long-term personal savings, not short-term spending.</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Access</w:t>
            </w:r>
          </w:p>
        </w:tc>
        <w:tc>
          <w:tcPr>
            <w:tcW w:type="dxa" w:w="7848"/>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Restricted; loans/withdrawals are allowed only under scheme rules.</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7"/>
              </w:rPr>
              <w:t>Contribution</w:t>
            </w:r>
          </w:p>
        </w:tc>
        <w:tc>
          <w:tcPr>
            <w:tcW w:type="dxa" w:w="7848"/>
            <w:tcMar>
              <w:top w:w="90" w:type="dxa"/>
              <w:start w:w="120" w:type="dxa"/>
              <w:bottom w:w="90" w:type="dxa"/>
              <w:end w:w="120" w:type="dxa"/>
            </w:tcMar>
            <w:vAlign w:val="center"/>
          </w:tcPr>
          <w:p>
            <w:pPr>
              <w:spacing w:after="0" w:line="252" w:lineRule="auto"/>
            </w:pPr>
            <w:r>
              <w:rPr>
                <w:rFonts w:ascii="Aptos" w:hAnsi="Aptos"/>
                <w:b w:val="0"/>
                <w:i w:val="0"/>
                <w:color w:val="24323D"/>
                <w:sz w:val="17"/>
              </w:rPr>
              <w:t>₹500 minimum and ₹1.5 lakh maximum per financial year under current rules.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Tax</w:t>
            </w:r>
          </w:p>
        </w:tc>
        <w:tc>
          <w:tcPr>
            <w:tcW w:type="dxa" w:w="7848"/>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Commonly associated with old-regime section 80C treatment; verify current law and your regime.</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7"/>
              </w:rPr>
              <w:t>Key risk</w:t>
            </w:r>
          </w:p>
        </w:tc>
        <w:tc>
          <w:tcPr>
            <w:tcW w:type="dxa" w:w="7848"/>
            <w:tcMar>
              <w:top w:w="90" w:type="dxa"/>
              <w:start w:w="120" w:type="dxa"/>
              <w:bottom w:w="90" w:type="dxa"/>
              <w:end w:w="120" w:type="dxa"/>
            </w:tcMar>
            <w:vAlign w:val="center"/>
          </w:tcPr>
          <w:p>
            <w:pPr>
              <w:spacing w:after="0" w:line="252" w:lineRule="auto"/>
            </w:pPr>
            <w:r>
              <w:rPr>
                <w:rFonts w:ascii="Aptos" w:hAnsi="Aptos"/>
                <w:b w:val="0"/>
                <w:i w:val="0"/>
                <w:color w:val="24323D"/>
                <w:sz w:val="17"/>
              </w:rPr>
              <w:t>Lock-in and changing notified rates; not market-price risk like equity.</w:t>
            </w:r>
          </w:p>
        </w:tc>
      </w:tr>
    </w:tbl>
    <w:p>
      <w:pPr>
        <w:widowControl/>
        <w:spacing w:after="20"/>
      </w:pPr>
    </w:p>
    <w:p>
      <w:pPr>
        <w:pStyle w:val="Heading1"/>
        <w:keepNext/>
        <w:widowControl/>
      </w:pPr>
      <w:r>
        <w:t>Sukanya Samriddhi Account (SSA)</w:t>
      </w:r>
    </w:p>
    <w:p>
      <w:pPr>
        <w:widowControl/>
      </w:pPr>
      <w:r>
        <w:rPr>
          <w:rFonts w:ascii="Aptos" w:hAnsi="Aptos"/>
          <w:b w:val="0"/>
          <w:i w:val="0"/>
          <w:color w:val="24323D"/>
          <w:sz w:val="21"/>
        </w:rPr>
        <w:t>A guardian may open an SSA in the name of a girl child who has not attained age ten on the opening date. Usually, one account is allowed per girl and up to two girl children per family, with specified exceptions for multiple births. The account matures 21 years from opening. Deposits are required only for the period specified in the scheme, and education-related withdrawals are available under conditions.</w:t>
      </w:r>
    </w:p>
    <w:p>
      <w:pPr>
        <w:widowControl/>
      </w:pPr>
      <w:r>
        <w:rPr>
          <w:rFonts w:ascii="Aptos" w:hAnsi="Aptos"/>
          <w:b w:val="0"/>
          <w:i w:val="0"/>
          <w:color w:val="24323D"/>
          <w:sz w:val="21"/>
        </w:rPr>
        <w:t>For the edition checked, annual deposits range from ₹250 to ₹1.5 lakh. This is a long-term, goal-specific account. It should not lead a family to neglect emergency savings, insurance, the parents’ retirement or the education needs of other children.</w:t>
      </w:r>
    </w:p>
    <w:p>
      <w:pPr>
        <w:pStyle w:val="MVSource"/>
        <w:widowControl/>
      </w:pPr>
      <w:r>
        <w:rPr>
          <w:rFonts w:ascii="Aptos" w:hAnsi="Aptos"/>
          <w:b w:val="0"/>
          <w:i w:val="0"/>
          <w:color w:val="24323D"/>
          <w:sz w:val="21"/>
        </w:rPr>
        <w:t>Official basis: National Savings Institute, Sukanya Samriddhi Account Scheme, 2019, as amended.</w:t>
      </w:r>
    </w:p>
    <w:tbl>
      <w:tblPr>
        <w:tblW w:type="auto" w:w="0"/>
        <w:jc w:val="center"/>
        <w:tblLayout w:type="fixed"/>
        <w:tblLook w:firstColumn="1" w:firstRow="1" w:lastColumn="0" w:lastRow="0" w:noHBand="0" w:noVBand="1" w:val="04A0"/>
      </w:tblPr>
      <w:tblGrid>
        <w:gridCol w:w="9648"/>
      </w:tblGrid>
      <w:tr>
        <w:tc>
          <w:tcPr>
            <w:tcW w:type="dxa" w:w="9400"/>
            <w:shd w:fill="EAF3F2"/>
            <w:tcMar>
              <w:top w:w="150" w:type="dxa"/>
              <w:start w:w="180" w:type="dxa"/>
              <w:bottom w:w="150" w:type="dxa"/>
              <w:end w:w="180" w:type="dxa"/>
            </w:tcMar>
          </w:tcPr>
          <w:p>
            <w:pPr>
              <w:spacing w:after="80"/>
            </w:pPr>
            <w:r>
              <w:rPr>
                <w:rFonts w:ascii="Aptos" w:hAnsi="Aptos"/>
                <w:b/>
                <w:i w:val="0"/>
                <w:color w:val="3E8C84"/>
                <w:sz w:val="18"/>
              </w:rPr>
              <w:t>REAL-LIFE EXAMPLE</w:t>
            </w:r>
          </w:p>
          <w:p>
            <w:pPr>
              <w:spacing w:after="0"/>
            </w:pPr>
            <w:r>
              <w:rPr>
                <w:rFonts w:ascii="Aptos" w:hAnsi="Aptos"/>
                <w:b w:val="0"/>
                <w:i w:val="0"/>
                <w:color w:val="24323D"/>
                <w:sz w:val="20"/>
              </w:rPr>
              <w:t>A family can value SSA for its discipline and still use other tools for the same child’s education. One scheme does not have to carry the entire goal, especially when education costs and family circumstances change.</w:t>
            </w:r>
          </w:p>
        </w:tc>
      </w:tr>
    </w:tbl>
    <w:p>
      <w:pPr>
        <w:widowControl/>
        <w:spacing w:after="20"/>
      </w:pPr>
    </w:p>
    <w:p>
      <w:pPr>
        <w:pStyle w:val="Heading1"/>
        <w:keepNext/>
        <w:widowControl/>
      </w:pPr>
      <w:r>
        <w:t>Employees’ Provident Fund (EPF), Pension Scheme and EDLI</w:t>
      </w:r>
    </w:p>
    <w:p>
      <w:pPr>
        <w:widowControl/>
      </w:pPr>
      <w:r>
        <w:rPr>
          <w:rFonts w:ascii="Aptos" w:hAnsi="Aptos"/>
          <w:b w:val="0"/>
          <w:i w:val="0"/>
          <w:color w:val="24323D"/>
          <w:sz w:val="21"/>
        </w:rPr>
        <w:t>EPF is employment-linked. Eligible employees in covered establishments contribute through payroll, with employer contributions allocated according to applicable rules. The wider EPFO framework also includes the Employees’ Pension Scheme (EPS) and Employees’ Deposit Linked Insurance (EDLI). Your Universal Account Number (UAN), nomination and employment records matter when you change jobs or make a claim.</w:t>
      </w:r>
    </w:p>
    <w:p>
      <w:pPr>
        <w:pStyle w:val="ListBullet"/>
        <w:widowControl/>
        <w:spacing w:after="60"/>
        <w:ind w:left="504" w:hanging="259"/>
      </w:pPr>
      <w:r>
        <w:rPr>
          <w:rFonts w:ascii="Aptos" w:hAnsi="Aptos"/>
          <w:b w:val="0"/>
          <w:i w:val="0"/>
          <w:color w:val="24323D"/>
          <w:sz w:val="20"/>
        </w:rPr>
        <w:t>Check that your name, date of birth, PAN, Aadhaar and bank details match.</w:t>
      </w:r>
    </w:p>
    <w:p>
      <w:pPr>
        <w:pStyle w:val="ListBullet"/>
        <w:widowControl/>
        <w:spacing w:after="60"/>
        <w:ind w:left="504" w:hanging="259"/>
      </w:pPr>
      <w:r>
        <w:rPr>
          <w:rFonts w:ascii="Aptos" w:hAnsi="Aptos"/>
          <w:b w:val="0"/>
          <w:i w:val="0"/>
          <w:color w:val="24323D"/>
          <w:sz w:val="20"/>
        </w:rPr>
        <w:t>Review the passbook and employer deposits periodically.</w:t>
      </w:r>
    </w:p>
    <w:p>
      <w:pPr>
        <w:pStyle w:val="ListBullet"/>
        <w:widowControl/>
        <w:spacing w:after="60"/>
        <w:ind w:left="504" w:hanging="259"/>
      </w:pPr>
      <w:r>
        <w:rPr>
          <w:rFonts w:ascii="Aptos" w:hAnsi="Aptos"/>
          <w:b w:val="0"/>
          <w:i w:val="0"/>
          <w:color w:val="24323D"/>
          <w:sz w:val="20"/>
        </w:rPr>
        <w:t>Transfer or consolidate eligible balances when changing jobs instead of losing track of old member IDs.</w:t>
      </w:r>
    </w:p>
    <w:p>
      <w:pPr>
        <w:pStyle w:val="ListBullet"/>
        <w:widowControl/>
        <w:spacing w:after="60"/>
        <w:ind w:left="504" w:hanging="259"/>
      </w:pPr>
      <w:r>
        <w:rPr>
          <w:rFonts w:ascii="Aptos" w:hAnsi="Aptos"/>
          <w:b w:val="0"/>
          <w:i w:val="0"/>
          <w:color w:val="24323D"/>
          <w:sz w:val="20"/>
        </w:rPr>
        <w:t>Update e-nomination after marriage, childbirth or another major family change.</w:t>
      </w:r>
    </w:p>
    <w:p>
      <w:pPr>
        <w:pStyle w:val="ListBullet"/>
        <w:widowControl/>
        <w:spacing w:after="60"/>
        <w:ind w:left="504" w:hanging="259"/>
      </w:pPr>
      <w:r>
        <w:rPr>
          <w:rFonts w:ascii="Aptos" w:hAnsi="Aptos"/>
          <w:b w:val="0"/>
          <w:i w:val="0"/>
          <w:color w:val="24323D"/>
          <w:sz w:val="20"/>
        </w:rPr>
        <w:t>Do not treat an SMS or agent as the final authority; use EPFO’s official portal.</w:t>
      </w:r>
    </w:p>
    <w:p>
      <w:pPr>
        <w:pStyle w:val="MVSource"/>
        <w:widowControl/>
      </w:pPr>
      <w:r>
        <w:rPr>
          <w:rFonts w:ascii="Aptos" w:hAnsi="Aptos"/>
          <w:b w:val="0"/>
          <w:i w:val="0"/>
          <w:color w:val="24323D"/>
          <w:sz w:val="21"/>
        </w:rPr>
        <w:t>Official basis: Employees’ Provident Fund Organisation FAQs and member guidance.</w:t>
      </w:r>
    </w:p>
    <w:p>
      <w:pPr>
        <w:pStyle w:val="Heading1"/>
        <w:keepNext/>
        <w:widowControl/>
      </w:pPr>
      <w:r>
        <w:t>National Pension System (NPS)</w:t>
      </w:r>
    </w:p>
    <w:p>
      <w:pPr>
        <w:widowControl/>
      </w:pPr>
      <w:r>
        <w:rPr>
          <w:rFonts w:ascii="Aptos" w:hAnsi="Aptos"/>
          <w:b w:val="0"/>
          <w:i w:val="0"/>
          <w:color w:val="24323D"/>
          <w:sz w:val="21"/>
        </w:rPr>
        <w:t>NPS is a regulated, defined-contribution retirement system. Your outcome depends on contributions, investment performance, charges and exit rules; it is not a fixed guaranteed pension unless a separate guarantee is explicitly part of a scheme. Under the All Citizen Model guidance checked for this edition, eligible Indian citizens, NRIs and OCIs may open an account between ages 18 and 70, and may continue contributing up to age 85 under current PFRDA rules, subject to KYC and other conditions.</w:t>
      </w:r>
    </w:p>
    <w:p>
      <w:pPr>
        <w:widowControl/>
      </w:pPr>
      <w:r>
        <w:rPr>
          <w:rFonts w:ascii="Aptos" w:hAnsi="Aptos"/>
          <w:b w:val="0"/>
          <w:i w:val="0"/>
          <w:color w:val="24323D"/>
          <w:sz w:val="21"/>
        </w:rPr>
        <w:t>NPS Tier I is the retirement account with withdrawal and exit restrictions. Tier II is a voluntary account available subject to rules and is not a substitute for Tier I. Choices may include active or automatic asset allocation across equity, corporate debt and government securities. Exit rules were updated recently, which is exactly why old articles should not be treated as permanent instructions.</w:t>
      </w:r>
    </w:p>
    <w:p>
      <w:pPr>
        <w:pStyle w:val="MVSource"/>
        <w:widowControl/>
      </w:pPr>
      <w:r>
        <w:rPr>
          <w:rFonts w:ascii="Aptos" w:hAnsi="Aptos"/>
          <w:b w:val="0"/>
          <w:i w:val="0"/>
          <w:color w:val="24323D"/>
          <w:sz w:val="21"/>
        </w:rPr>
        <w:t>Official basis: Pension Fund Regulatory and Development Authority, NPS All Citizen Model, updated January 2026.</w:t>
      </w:r>
    </w:p>
    <w:tbl>
      <w:tblPr>
        <w:tblW w:type="auto" w:w="0"/>
        <w:jc w:val="center"/>
        <w:tblLayout w:type="fixed"/>
        <w:tblLook w:firstColumn="1" w:firstRow="1" w:lastColumn="0" w:lastRow="0" w:noHBand="0" w:noVBand="1" w:val="04A0"/>
      </w:tblPr>
      <w:tblGrid>
        <w:gridCol w:w="9648"/>
      </w:tblGrid>
      <w:tr>
        <w:tc>
          <w:tcPr>
            <w:tcW w:type="dxa" w:w="9400"/>
            <w:shd w:fill="EAF3F2"/>
            <w:tcMar>
              <w:top w:w="150" w:type="dxa"/>
              <w:start w:w="180" w:type="dxa"/>
              <w:bottom w:w="150" w:type="dxa"/>
              <w:end w:w="180" w:type="dxa"/>
            </w:tcMar>
          </w:tcPr>
          <w:p>
            <w:pPr>
              <w:spacing w:after="80"/>
            </w:pPr>
            <w:r>
              <w:rPr>
                <w:rFonts w:ascii="Aptos" w:hAnsi="Aptos"/>
                <w:b/>
                <w:i w:val="0"/>
                <w:color w:val="3E8C84"/>
                <w:sz w:val="18"/>
              </w:rPr>
              <w:t>ASK BEFORE JOINING</w:t>
            </w:r>
          </w:p>
          <w:p>
            <w:pPr>
              <w:spacing w:after="0"/>
            </w:pPr>
            <w:r>
              <w:rPr>
                <w:rFonts w:ascii="Aptos" w:hAnsi="Aptos"/>
                <w:b w:val="0"/>
                <w:i w:val="0"/>
                <w:color w:val="24323D"/>
                <w:sz w:val="20"/>
              </w:rPr>
              <w:t>What is my retirement goal? Which NPS account and investment choice am I selecting? What are the current exit, partial-withdrawal and annuity rules? What tax benefit, if any, applies under my chosen tax regime?</w:t>
            </w:r>
          </w:p>
        </w:tc>
      </w:tr>
    </w:tbl>
    <w:p>
      <w:pPr>
        <w:widowControl/>
        <w:spacing w:after="20"/>
      </w:pPr>
    </w:p>
    <w:p>
      <w:pPr>
        <w:pStyle w:val="Heading1"/>
        <w:keepNext/>
        <w:widowControl/>
      </w:pPr>
      <w:r>
        <w:t>NPS Vatsalya</w:t>
      </w:r>
    </w:p>
    <w:p>
      <w:pPr>
        <w:widowControl/>
      </w:pPr>
      <w:r>
        <w:rPr>
          <w:rFonts w:ascii="Aptos" w:hAnsi="Aptos"/>
          <w:b w:val="0"/>
          <w:i w:val="0"/>
          <w:color w:val="24323D"/>
          <w:sz w:val="21"/>
        </w:rPr>
        <w:t>NPS Vatsalya permits a parent or legal guardian to open and manage an individual pension account for an eligible minor, who remains the sole beneficiary. After the child turns 18 and completes the required KYC, the account transitions under the applicable rules. It is retirement-oriented; it should not be mistaken for an education account with unrestricted access.</w:t>
      </w:r>
    </w:p>
    <w:p>
      <w:pPr>
        <w:pStyle w:val="MVSource"/>
        <w:widowControl/>
      </w:pPr>
      <w:r>
        <w:rPr>
          <w:rFonts w:ascii="Aptos" w:hAnsi="Aptos"/>
          <w:b w:val="0"/>
          <w:i w:val="0"/>
          <w:color w:val="24323D"/>
          <w:sz w:val="21"/>
        </w:rPr>
        <w:t>Official basis: PFRDA NPS Vatsalya Scheme Guidelines, 2025.</w:t>
      </w:r>
    </w:p>
    <w:p>
      <w:pPr>
        <w:pStyle w:val="Heading1"/>
        <w:keepNext/>
        <w:widowControl/>
      </w:pPr>
      <w:r>
        <w:t>Atal Pension Yojana (APY)</w:t>
      </w:r>
    </w:p>
    <w:p>
      <w:pPr>
        <w:widowControl/>
      </w:pPr>
      <w:r>
        <w:rPr>
          <w:rFonts w:ascii="Aptos" w:hAnsi="Aptos"/>
          <w:b w:val="0"/>
          <w:i w:val="0"/>
          <w:color w:val="24323D"/>
          <w:sz w:val="21"/>
        </w:rPr>
        <w:t>APY is a voluntary pension scheme designed especially for people in the unorganised sector. An eligible Indian citizen must generally be aged 18 to 40 and hold a bank or post-office savings account. Since 1 October 2022, a person who is or has been an income-tax payer as of the application date cannot open a new APY account. Existing eligible subscribers covered by the transition rules may continue.</w:t>
      </w:r>
    </w:p>
    <w:p>
      <w:pPr>
        <w:widowControl/>
      </w:pPr>
      <w:r>
        <w:rPr>
          <w:rFonts w:ascii="Aptos" w:hAnsi="Aptos"/>
          <w:b w:val="0"/>
          <w:i w:val="0"/>
          <w:color w:val="24323D"/>
          <w:sz w:val="21"/>
        </w:rPr>
        <w:t>The subscriber selects a guaranteed monthly pension slab—₹1,000 to ₹5,000—payable after age 60, and the contribution depends on joining age and chosen pension. “Guaranteed” refers to the scheme benefit under its rules, not unlimited growth or inflation protection.</w:t>
      </w:r>
    </w:p>
    <w:p>
      <w:pPr>
        <w:pStyle w:val="MVSource"/>
        <w:widowControl/>
      </w:pPr>
      <w:r>
        <w:rPr>
          <w:rFonts w:ascii="Aptos" w:hAnsi="Aptos"/>
          <w:b w:val="0"/>
          <w:i w:val="0"/>
          <w:color w:val="24323D"/>
          <w:sz w:val="21"/>
        </w:rPr>
        <w:t>Official basis: PFRDA Atal Pension Yojana portal and FAQs.</w:t>
      </w:r>
    </w:p>
    <w:p>
      <w:pPr>
        <w:pStyle w:val="Heading1"/>
        <w:keepNext/>
        <w:widowControl/>
      </w:pPr>
      <w:r>
        <w:t>PMJJBY and PMSBY: simple protection, limited cover</w:t>
      </w:r>
    </w:p>
    <w:tbl>
      <w:tblPr>
        <w:tblStyle w:val="TableGrid"/>
        <w:tblW w:type="dxa" w:w="9648"/>
        <w:jc w:val="center"/>
        <w:tblLayout w:type="fixed"/>
        <w:tblLook w:firstColumn="1" w:firstRow="1" w:lastColumn="0" w:lastRow="0" w:noHBand="0" w:noVBand="1" w:val="04A0"/>
      </w:tblPr>
      <w:tblGrid>
        <w:gridCol w:w="1600"/>
        <w:gridCol w:w="2950"/>
        <w:gridCol w:w="2650"/>
        <w:gridCol w:w="2448"/>
      </w:tblGrid>
      <w:tr>
        <w:trPr>
          <w:tblHeader w:val="true"/>
        </w:trPr>
        <w:tc>
          <w:tcPr>
            <w:tcW w:type="dxa" w:w="1600"/>
            <w:shd w:fill="24445C"/>
            <w:tcMar>
              <w:top w:w="90" w:type="dxa"/>
              <w:start w:w="120" w:type="dxa"/>
              <w:bottom w:w="90" w:type="dxa"/>
              <w:end w:w="120" w:type="dxa"/>
            </w:tcMar>
            <w:vAlign w:val="center"/>
          </w:tcPr>
          <w:p>
            <w:pPr>
              <w:spacing w:after="0"/>
            </w:pPr>
            <w:r>
              <w:rPr>
                <w:rFonts w:ascii="Aptos" w:hAnsi="Aptos"/>
                <w:b/>
                <w:i w:val="0"/>
                <w:color w:val="FFFFFF"/>
                <w:sz w:val="18"/>
              </w:rPr>
              <w:t>Scheme</w:t>
            </w:r>
          </w:p>
        </w:tc>
        <w:tc>
          <w:tcPr>
            <w:tcW w:type="dxa" w:w="2950"/>
            <w:shd w:fill="24445C"/>
            <w:tcMar>
              <w:top w:w="90" w:type="dxa"/>
              <w:start w:w="120" w:type="dxa"/>
              <w:bottom w:w="90" w:type="dxa"/>
              <w:end w:w="120" w:type="dxa"/>
            </w:tcMar>
            <w:vAlign w:val="center"/>
          </w:tcPr>
          <w:p>
            <w:pPr>
              <w:spacing w:after="0"/>
            </w:pPr>
            <w:r>
              <w:rPr>
                <w:rFonts w:ascii="Aptos" w:hAnsi="Aptos"/>
                <w:b/>
                <w:i w:val="0"/>
                <w:color w:val="FFFFFF"/>
                <w:sz w:val="18"/>
              </w:rPr>
              <w:t>What it covers</w:t>
            </w:r>
          </w:p>
        </w:tc>
        <w:tc>
          <w:tcPr>
            <w:tcW w:type="dxa" w:w="2650"/>
            <w:shd w:fill="24445C"/>
            <w:tcMar>
              <w:top w:w="90" w:type="dxa"/>
              <w:start w:w="120" w:type="dxa"/>
              <w:bottom w:w="90" w:type="dxa"/>
              <w:end w:w="120" w:type="dxa"/>
            </w:tcMar>
            <w:vAlign w:val="center"/>
          </w:tcPr>
          <w:p>
            <w:pPr>
              <w:spacing w:after="0"/>
            </w:pPr>
            <w:r>
              <w:rPr>
                <w:rFonts w:ascii="Aptos" w:hAnsi="Aptos"/>
                <w:b/>
                <w:i w:val="0"/>
                <w:color w:val="FFFFFF"/>
                <w:sz w:val="18"/>
              </w:rPr>
              <w:t>Basic eligibility</w:t>
            </w:r>
          </w:p>
        </w:tc>
        <w:tc>
          <w:tcPr>
            <w:tcW w:type="dxa" w:w="2448"/>
            <w:shd w:fill="24445C"/>
            <w:tcMar>
              <w:top w:w="90" w:type="dxa"/>
              <w:start w:w="120" w:type="dxa"/>
              <w:bottom w:w="90" w:type="dxa"/>
              <w:end w:w="120" w:type="dxa"/>
            </w:tcMar>
            <w:vAlign w:val="center"/>
          </w:tcPr>
          <w:p>
            <w:pPr>
              <w:spacing w:after="0"/>
            </w:pPr>
            <w:r>
              <w:rPr>
                <w:rFonts w:ascii="Aptos" w:hAnsi="Aptos"/>
                <w:b/>
                <w:i w:val="0"/>
                <w:color w:val="FFFFFF"/>
                <w:sz w:val="18"/>
              </w:rPr>
              <w:t>Important limitation</w:t>
            </w:r>
          </w:p>
        </w:tc>
      </w:tr>
      <w:tr>
        <w:tc>
          <w:tcPr>
            <w:tcW w:type="dxa" w:w="1600"/>
            <w:tcMar>
              <w:top w:w="90" w:type="dxa"/>
              <w:start w:w="120" w:type="dxa"/>
              <w:bottom w:w="90" w:type="dxa"/>
              <w:end w:w="120" w:type="dxa"/>
            </w:tcMar>
            <w:vAlign w:val="center"/>
          </w:tcPr>
          <w:p>
            <w:pPr>
              <w:spacing w:after="0" w:line="252" w:lineRule="auto"/>
            </w:pPr>
            <w:r>
              <w:rPr>
                <w:rFonts w:ascii="Aptos" w:hAnsi="Aptos"/>
                <w:b w:val="0"/>
                <w:i w:val="0"/>
                <w:color w:val="24323D"/>
                <w:sz w:val="16"/>
              </w:rPr>
              <w:t>PMJJBY</w:t>
            </w:r>
          </w:p>
        </w:tc>
        <w:tc>
          <w:tcPr>
            <w:tcW w:type="dxa" w:w="2950"/>
            <w:tcMar>
              <w:top w:w="90" w:type="dxa"/>
              <w:start w:w="120" w:type="dxa"/>
              <w:bottom w:w="90" w:type="dxa"/>
              <w:end w:w="120" w:type="dxa"/>
            </w:tcMar>
            <w:vAlign w:val="center"/>
          </w:tcPr>
          <w:p>
            <w:pPr>
              <w:spacing w:after="0" w:line="252" w:lineRule="auto"/>
            </w:pPr>
            <w:r>
              <w:rPr>
                <w:rFonts w:ascii="Aptos" w:hAnsi="Aptos"/>
                <w:b w:val="0"/>
                <w:i w:val="0"/>
                <w:color w:val="24323D"/>
                <w:sz w:val="16"/>
              </w:rPr>
              <w:t>One-year renewable life cover for death due to any reason, subject to rules</w:t>
            </w:r>
          </w:p>
        </w:tc>
        <w:tc>
          <w:tcPr>
            <w:tcW w:type="dxa" w:w="2650"/>
            <w:tcMar>
              <w:top w:w="90" w:type="dxa"/>
              <w:start w:w="120" w:type="dxa"/>
              <w:bottom w:w="90" w:type="dxa"/>
              <w:end w:w="120" w:type="dxa"/>
            </w:tcMar>
            <w:vAlign w:val="center"/>
          </w:tcPr>
          <w:p>
            <w:pPr>
              <w:spacing w:after="0" w:line="252" w:lineRule="auto"/>
            </w:pPr>
            <w:r>
              <w:rPr>
                <w:rFonts w:ascii="Aptos" w:hAnsi="Aptos"/>
                <w:b w:val="0"/>
                <w:i w:val="0"/>
                <w:color w:val="24323D"/>
                <w:sz w:val="16"/>
              </w:rPr>
              <w:t>Participating bank/post-office account holder, generally age 18–50 to join</w:t>
            </w:r>
          </w:p>
        </w:tc>
        <w:tc>
          <w:tcPr>
            <w:tcW w:type="dxa" w:w="2448"/>
            <w:tcMar>
              <w:top w:w="90" w:type="dxa"/>
              <w:start w:w="120" w:type="dxa"/>
              <w:bottom w:w="90" w:type="dxa"/>
              <w:end w:w="120" w:type="dxa"/>
            </w:tcMar>
            <w:vAlign w:val="center"/>
          </w:tcPr>
          <w:p>
            <w:pPr>
              <w:spacing w:after="0" w:line="252" w:lineRule="auto"/>
            </w:pPr>
            <w:r>
              <w:rPr>
                <w:rFonts w:ascii="Aptos" w:hAnsi="Aptos"/>
                <w:b w:val="0"/>
                <w:i w:val="0"/>
                <w:color w:val="24323D"/>
                <w:sz w:val="16"/>
              </w:rPr>
              <w:t>Cover amount is limited; it may not replace adequate family life insurance.</w:t>
            </w:r>
          </w:p>
        </w:tc>
      </w:tr>
      <w:tr>
        <w:tc>
          <w:tcPr>
            <w:tcW w:type="dxa" w:w="1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PMSBY</w:t>
            </w:r>
          </w:p>
        </w:tc>
        <w:tc>
          <w:tcPr>
            <w:tcW w:type="dxa" w:w="29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One-year renewable accidental death and disability cover, subject to rules</w:t>
            </w:r>
          </w:p>
        </w:tc>
        <w:tc>
          <w:tcPr>
            <w:tcW w:type="dxa" w:w="26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Participating bank/post-office account holder, generally age 18–70</w:t>
            </w:r>
          </w:p>
        </w:tc>
        <w:tc>
          <w:tcPr>
            <w:tcW w:type="dxa" w:w="2448"/>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It is accident cover, not comprehensive life or health insurance.</w:t>
            </w:r>
          </w:p>
        </w:tc>
      </w:tr>
    </w:tbl>
    <w:p>
      <w:pPr>
        <w:widowControl/>
        <w:spacing w:after="20"/>
      </w:pPr>
    </w:p>
    <w:p>
      <w:pPr>
        <w:widowControl/>
      </w:pPr>
      <w:r>
        <w:rPr>
          <w:rFonts w:ascii="Aptos" w:hAnsi="Aptos"/>
          <w:b w:val="0"/>
          <w:i w:val="0"/>
          <w:color w:val="24323D"/>
          <w:sz w:val="21"/>
        </w:rPr>
        <w:t>Premiums are generally auto-debited with consent and can be revised. Check whether the cover is active, the correct account is linked, the nominee is updated and the claim process is known. Do not assume an old enrolment remains active without checking renewal and debit status.</w:t>
      </w:r>
    </w:p>
    <w:p>
      <w:pPr>
        <w:pStyle w:val="MVSource"/>
        <w:widowControl/>
      </w:pPr>
      <w:r>
        <w:rPr>
          <w:rFonts w:ascii="Aptos" w:hAnsi="Aptos"/>
          <w:b w:val="0"/>
          <w:i w:val="0"/>
          <w:color w:val="24323D"/>
          <w:sz w:val="21"/>
        </w:rPr>
        <w:t>Official basis: Jan Suraksha scheme rules for PMJJBY and PMSBY, checked 22 July 2026.</w:t>
      </w:r>
    </w:p>
    <w:p>
      <w:pPr>
        <w:pStyle w:val="Heading1"/>
        <w:keepNext/>
        <w:widowControl/>
      </w:pPr>
      <w:r>
        <w:t>National Savings Certificate and Post Office Time Deposits</w:t>
      </w:r>
    </w:p>
    <w:p>
      <w:pPr>
        <w:widowControl/>
      </w:pPr>
      <w:r>
        <w:rPr>
          <w:rFonts w:ascii="Aptos" w:hAnsi="Aptos"/>
          <w:b w:val="0"/>
          <w:i w:val="0"/>
          <w:color w:val="24323D"/>
          <w:sz w:val="21"/>
        </w:rPr>
        <w:t>NSC and post-office time deposits are fixed-term small-savings products offered under notified rules. They can help with known-date goals when the saver accepts the term and access restrictions. Certain qualifying deposits may receive old-regime tax deductions, but interest taxation and deduction treatment must be checked for the relevant year and taxpayer.</w:t>
      </w:r>
    </w:p>
    <w:p>
      <w:pPr>
        <w:pStyle w:val="Heading1"/>
        <w:keepNext/>
        <w:widowControl/>
      </w:pPr>
      <w:r>
        <w:t>Pradhan Mantri Jan-Dhan Yojana (PMJDY)</w:t>
      </w:r>
    </w:p>
    <w:p>
      <w:pPr>
        <w:widowControl/>
      </w:pPr>
      <w:r>
        <w:rPr>
          <w:rFonts w:ascii="Aptos" w:hAnsi="Aptos"/>
          <w:b w:val="0"/>
          <w:i w:val="0"/>
          <w:color w:val="24323D"/>
          <w:sz w:val="21"/>
        </w:rPr>
        <w:t>PMJDY supports access to basic banking services and may connect eligible account holders to benefits and social-security schemes. A basic account is not “only for receiving money”; it should be used carefully, with mobile details, nomination and KYC kept current. Eligibility for overdraft or linked benefits is subject to scheme and bank rules.</w:t>
      </w:r>
    </w:p>
    <w:p>
      <w:pPr>
        <w:pStyle w:val="Heading1"/>
        <w:keepNext/>
        <w:widowControl/>
      </w:pPr>
      <w:r>
        <w:t>Common mistakes</w:t>
      </w:r>
    </w:p>
    <w:p>
      <w:pPr>
        <w:pStyle w:val="ListBullet"/>
        <w:widowControl/>
        <w:spacing w:after="60"/>
        <w:ind w:left="504" w:hanging="259"/>
      </w:pPr>
      <w:r>
        <w:rPr>
          <w:rFonts w:ascii="Aptos" w:hAnsi="Aptos"/>
          <w:b w:val="0"/>
          <w:i w:val="0"/>
          <w:color w:val="24323D"/>
          <w:sz w:val="20"/>
        </w:rPr>
        <w:t>Opening a scheme only for a tax deduction without understanding the lock-in.</w:t>
      </w:r>
    </w:p>
    <w:p>
      <w:pPr>
        <w:pStyle w:val="ListBullet"/>
        <w:widowControl/>
        <w:spacing w:after="60"/>
        <w:ind w:left="504" w:hanging="259"/>
      </w:pPr>
      <w:r>
        <w:rPr>
          <w:rFonts w:ascii="Aptos" w:hAnsi="Aptos"/>
          <w:b w:val="0"/>
          <w:i w:val="0"/>
          <w:color w:val="24323D"/>
          <w:sz w:val="20"/>
        </w:rPr>
        <w:t>Assuming every government scheme is suitable for every family.</w:t>
      </w:r>
    </w:p>
    <w:p>
      <w:pPr>
        <w:pStyle w:val="ListBullet"/>
        <w:widowControl/>
        <w:spacing w:after="60"/>
        <w:ind w:left="504" w:hanging="259"/>
      </w:pPr>
      <w:r>
        <w:rPr>
          <w:rFonts w:ascii="Aptos" w:hAnsi="Aptos"/>
          <w:b w:val="0"/>
          <w:i w:val="0"/>
          <w:color w:val="24323D"/>
          <w:sz w:val="20"/>
        </w:rPr>
        <w:t>Counting a child-focused account as the parents’ retirement plan.</w:t>
      </w:r>
    </w:p>
    <w:p>
      <w:pPr>
        <w:pStyle w:val="ListBullet"/>
        <w:widowControl/>
        <w:spacing w:after="60"/>
        <w:ind w:left="504" w:hanging="259"/>
      </w:pPr>
      <w:r>
        <w:rPr>
          <w:rFonts w:ascii="Aptos" w:hAnsi="Aptos"/>
          <w:b w:val="0"/>
          <w:i w:val="0"/>
          <w:color w:val="24323D"/>
          <w:sz w:val="20"/>
        </w:rPr>
        <w:t>Forgetting annual minimum contributions, auto-debits or nomination updates.</w:t>
      </w:r>
    </w:p>
    <w:p>
      <w:pPr>
        <w:pStyle w:val="ListBullet"/>
        <w:widowControl/>
        <w:spacing w:after="60"/>
        <w:ind w:left="504" w:hanging="259"/>
      </w:pPr>
      <w:r>
        <w:rPr>
          <w:rFonts w:ascii="Aptos" w:hAnsi="Aptos"/>
          <w:b w:val="0"/>
          <w:i w:val="0"/>
          <w:color w:val="24323D"/>
          <w:sz w:val="20"/>
        </w:rPr>
        <w:t>Relying on old interest rates, forwarded messages or an unofficial calculator.</w:t>
      </w:r>
    </w:p>
    <w:p>
      <w:pPr>
        <w:pStyle w:val="ListBullet"/>
        <w:widowControl/>
        <w:spacing w:after="60"/>
        <w:ind w:left="504" w:hanging="259"/>
      </w:pPr>
      <w:r>
        <w:rPr>
          <w:rFonts w:ascii="Aptos" w:hAnsi="Aptos"/>
          <w:b w:val="0"/>
          <w:i w:val="0"/>
          <w:color w:val="24323D"/>
          <w:sz w:val="20"/>
        </w:rPr>
        <w:t>Using the same goal money twice in a plan—for example, counting one PPF balance for both retirement and education.</w:t>
      </w:r>
    </w:p>
    <w:tbl>
      <w:tblPr>
        <w:tblW w:type="auto" w:w="0"/>
        <w:jc w:val="center"/>
        <w:tblLayout w:type="fixed"/>
        <w:tblLook w:firstColumn="1" w:firstRow="1" w:lastColumn="0" w:lastRow="0" w:noHBand="0" w:noVBand="1" w:val="04A0"/>
      </w:tblPr>
      <w:tblGrid>
        <w:gridCol w:w="9648"/>
      </w:tblGrid>
      <w:tr>
        <w:tc>
          <w:tcPr>
            <w:tcW w:type="dxa" w:w="9400"/>
            <w:shd w:fill="F9ECEB"/>
            <w:tcMar>
              <w:top w:w="150" w:type="dxa"/>
              <w:start w:w="180" w:type="dxa"/>
              <w:bottom w:w="150" w:type="dxa"/>
              <w:end w:w="180" w:type="dxa"/>
            </w:tcMar>
          </w:tcPr>
          <w:p>
            <w:pPr>
              <w:spacing w:after="80"/>
            </w:pPr>
            <w:r>
              <w:rPr>
                <w:rFonts w:ascii="Aptos" w:hAnsi="Aptos"/>
                <w:b/>
                <w:i w:val="0"/>
                <w:color w:val="9B3A35"/>
                <w:sz w:val="18"/>
              </w:rPr>
              <w:t>RED FLAGS</w:t>
            </w:r>
          </w:p>
          <w:p>
            <w:pPr>
              <w:spacing w:after="0"/>
            </w:pPr>
            <w:r>
              <w:rPr>
                <w:rFonts w:ascii="Aptos" w:hAnsi="Aptos"/>
                <w:b w:val="0"/>
                <w:i w:val="0"/>
                <w:color w:val="24323D"/>
                <w:sz w:val="20"/>
              </w:rPr>
              <w:t>A person asks for cash or a transfer to a personal account; guarantees a special unofficial rate; asks for an OTP or password; sells a “government approved” product without an official scheme document; or says eligibility checks are unnecessary.</w:t>
            </w:r>
          </w:p>
        </w:tc>
      </w:tr>
    </w:tbl>
    <w:p>
      <w:pPr>
        <w:widowControl/>
        <w:spacing w:after="20"/>
      </w:pPr>
    </w:p>
    <w:p>
      <w:pPr>
        <w:pStyle w:val="Heading1"/>
        <w:keepNext/>
        <w:widowControl/>
      </w:pPr>
      <w:r>
        <w:t>Scheme decision checklist</w:t>
      </w:r>
    </w:p>
    <w:p>
      <w:pPr>
        <w:pStyle w:val="ListBullet"/>
        <w:widowControl/>
        <w:spacing w:after="60"/>
        <w:ind w:left="504" w:hanging="259"/>
      </w:pPr>
      <w:r>
        <w:rPr>
          <w:rFonts w:ascii="Aptos" w:hAnsi="Aptos"/>
          <w:b w:val="0"/>
          <w:i w:val="0"/>
          <w:color w:val="24323D"/>
          <w:sz w:val="20"/>
        </w:rPr>
        <w:t>I am eligible under the current official rules.</w:t>
      </w:r>
    </w:p>
    <w:p>
      <w:pPr>
        <w:pStyle w:val="ListBullet"/>
        <w:widowControl/>
        <w:spacing w:after="60"/>
        <w:ind w:left="504" w:hanging="259"/>
      </w:pPr>
      <w:r>
        <w:rPr>
          <w:rFonts w:ascii="Aptos" w:hAnsi="Aptos"/>
          <w:b w:val="0"/>
          <w:i w:val="0"/>
          <w:color w:val="24323D"/>
          <w:sz w:val="20"/>
        </w:rPr>
        <w:t>I understand the scheme’s single main purpose.</w:t>
      </w:r>
    </w:p>
    <w:p>
      <w:pPr>
        <w:pStyle w:val="ListBullet"/>
        <w:widowControl/>
        <w:spacing w:after="60"/>
        <w:ind w:left="504" w:hanging="259"/>
      </w:pPr>
      <w:r>
        <w:rPr>
          <w:rFonts w:ascii="Aptos" w:hAnsi="Aptos"/>
          <w:b w:val="0"/>
          <w:i w:val="0"/>
          <w:color w:val="24323D"/>
          <w:sz w:val="20"/>
        </w:rPr>
        <w:t>I know the minimum, maximum, term and access conditions.</w:t>
      </w:r>
    </w:p>
    <w:p>
      <w:pPr>
        <w:pStyle w:val="ListBullet"/>
        <w:widowControl/>
        <w:spacing w:after="60"/>
        <w:ind w:left="504" w:hanging="259"/>
      </w:pPr>
      <w:r>
        <w:rPr>
          <w:rFonts w:ascii="Aptos" w:hAnsi="Aptos"/>
          <w:b w:val="0"/>
          <w:i w:val="0"/>
          <w:color w:val="24323D"/>
          <w:sz w:val="20"/>
        </w:rPr>
        <w:t>I checked the current rate or benefit on the official portal.</w:t>
      </w:r>
    </w:p>
    <w:p>
      <w:pPr>
        <w:pStyle w:val="ListBullet"/>
        <w:widowControl/>
        <w:spacing w:after="60"/>
        <w:ind w:left="504" w:hanging="259"/>
      </w:pPr>
      <w:r>
        <w:rPr>
          <w:rFonts w:ascii="Aptos" w:hAnsi="Aptos"/>
          <w:b w:val="0"/>
          <w:i w:val="0"/>
          <w:color w:val="24323D"/>
          <w:sz w:val="20"/>
        </w:rPr>
        <w:t>I understand tax treatment under my regime.</w:t>
      </w:r>
    </w:p>
    <w:p>
      <w:pPr>
        <w:pStyle w:val="ListBullet"/>
        <w:widowControl/>
        <w:spacing w:after="60"/>
        <w:ind w:left="504" w:hanging="259"/>
      </w:pPr>
      <w:r>
        <w:rPr>
          <w:rFonts w:ascii="Aptos" w:hAnsi="Aptos"/>
          <w:b w:val="0"/>
          <w:i w:val="0"/>
          <w:color w:val="24323D"/>
          <w:sz w:val="20"/>
        </w:rPr>
        <w:t>I know what happens if I miss a deposit, exit early or die.</w:t>
      </w:r>
    </w:p>
    <w:p>
      <w:pPr>
        <w:pStyle w:val="ListBullet"/>
        <w:widowControl/>
        <w:spacing w:after="60"/>
        <w:ind w:left="504" w:hanging="259"/>
      </w:pPr>
      <w:r>
        <w:rPr>
          <w:rFonts w:ascii="Aptos" w:hAnsi="Aptos"/>
          <w:b w:val="0"/>
          <w:i w:val="0"/>
          <w:color w:val="24323D"/>
          <w:sz w:val="20"/>
        </w:rPr>
        <w:t>Nominee or guardian details are correct.</w:t>
      </w:r>
    </w:p>
    <w:p>
      <w:pPr>
        <w:pStyle w:val="ListBullet"/>
        <w:widowControl/>
        <w:spacing w:after="60"/>
        <w:ind w:left="504" w:hanging="259"/>
      </w:pPr>
      <w:r>
        <w:rPr>
          <w:rFonts w:ascii="Aptos" w:hAnsi="Aptos"/>
          <w:b w:val="0"/>
          <w:i w:val="0"/>
          <w:color w:val="24323D"/>
          <w:sz w:val="20"/>
        </w:rPr>
        <w:t>The scheme fits my plan; it is not replacing an emergency fund or necessary insurance.</w:t>
      </w:r>
    </w:p>
    <w:tbl>
      <w:tblPr>
        <w:tblW w:type="auto" w:w="0"/>
        <w:jc w:val="center"/>
        <w:tblLayout w:type="fixed"/>
        <w:tblLook w:firstColumn="1" w:firstRow="1" w:lastColumn="0" w:lastRow="0" w:noHBand="0" w:noVBand="1" w:val="04A0"/>
      </w:tblPr>
      <w:tblGrid>
        <w:gridCol w:w="9648"/>
      </w:tblGrid>
      <w:tr>
        <w:tc>
          <w:tcPr>
            <w:tcW w:type="dxa" w:w="9400"/>
            <w:shd w:fill="EAF3F2"/>
            <w:tcMar>
              <w:top w:w="150" w:type="dxa"/>
              <w:start w:w="180" w:type="dxa"/>
              <w:bottom w:w="150" w:type="dxa"/>
              <w:end w:w="180" w:type="dxa"/>
            </w:tcMar>
          </w:tcPr>
          <w:p>
            <w:pPr>
              <w:spacing w:after="80"/>
            </w:pPr>
            <w:r>
              <w:rPr>
                <w:rFonts w:ascii="Aptos" w:hAnsi="Aptos"/>
                <w:b/>
                <w:i w:val="0"/>
                <w:color w:val="3E8C84"/>
                <w:sz w:val="18"/>
              </w:rPr>
              <w:t>REMEMBER THIS</w:t>
            </w:r>
          </w:p>
          <w:p>
            <w:pPr>
              <w:spacing w:after="0"/>
            </w:pPr>
            <w:r>
              <w:rPr>
                <w:rFonts w:ascii="Aptos" w:hAnsi="Aptos"/>
                <w:b w:val="0"/>
                <w:i w:val="0"/>
                <w:color w:val="24323D"/>
                <w:sz w:val="20"/>
              </w:rPr>
              <w:t>Government backing can reduce some risks, but it does not remove lock-in, inflation, eligibility, documentation or opportunity-cost questions. Understand the rulebook before you admire the label.</w:t>
            </w:r>
          </w:p>
        </w:tc>
      </w:tr>
    </w:tbl>
    <w:p>
      <w:pPr>
        <w:widowControl/>
        <w:spacing w:after="20"/>
      </w:pPr>
    </w:p>
    <w:tbl>
      <w:tblPr>
        <w:tblW w:type="auto" w:w="0"/>
        <w:jc w:val="center"/>
        <w:tblLayout w:type="fixed"/>
        <w:tblLook w:firstColumn="1" w:firstRow="1" w:lastColumn="0" w:lastRow="0" w:noHBand="0" w:noVBand="1" w:val="04A0"/>
      </w:tblPr>
      <w:tblGrid>
        <w:gridCol w:w="9648"/>
      </w:tblGrid>
      <w:tr>
        <w:tc>
          <w:tcPr>
            <w:tcW w:type="dxa" w:w="9400"/>
            <w:shd w:fill="EAF3F2"/>
            <w:tcMar>
              <w:top w:w="150" w:type="dxa"/>
              <w:start w:w="180" w:type="dxa"/>
              <w:bottom w:w="150" w:type="dxa"/>
              <w:end w:w="180" w:type="dxa"/>
            </w:tcMar>
          </w:tcPr>
          <w:p>
            <w:pPr>
              <w:spacing w:after="80"/>
            </w:pPr>
            <w:r>
              <w:rPr>
                <w:rFonts w:ascii="Aptos" w:hAnsi="Aptos"/>
                <w:b/>
                <w:i w:val="0"/>
                <w:color w:val="3E8C84"/>
                <w:sz w:val="18"/>
              </w:rPr>
              <w:t>TRY THIS TODAY</w:t>
            </w:r>
          </w:p>
          <w:p>
            <w:pPr>
              <w:spacing w:after="0"/>
            </w:pPr>
            <w:r>
              <w:rPr>
                <w:rFonts w:ascii="Aptos" w:hAnsi="Aptos"/>
                <w:b w:val="0"/>
                <w:i w:val="0"/>
                <w:color w:val="24323D"/>
                <w:sz w:val="20"/>
              </w:rPr>
              <w:t>Choose one government scheme your family already has. Find the latest official statement or passbook. Record the account number, purpose, owner, nominee, current balance, maturity or exit date, required contribution and official portal. Put the note in your family financial folder.</w:t>
            </w:r>
          </w:p>
        </w:tc>
      </w:tr>
    </w:tbl>
    <w:p>
      <w:pPr>
        <w:widowControl/>
        <w:spacing w:after="20"/>
      </w:pPr>
    </w:p>
    <w:p>
      <w:pPr>
        <w:widowControl/>
      </w:pPr>
      <w:r>
        <w:br w:type="page"/>
      </w:r>
    </w:p>
    <w:p>
      <w:pPr>
        <w:pStyle w:val="MVKicker"/>
        <w:keepNext/>
        <w:widowControl/>
      </w:pPr>
      <w:r>
        <w:rPr>
          <w:rFonts w:ascii="Aptos" w:hAnsi="Aptos"/>
          <w:b w:val="0"/>
          <w:i w:val="0"/>
          <w:color w:val="24323D"/>
          <w:sz w:val="21"/>
        </w:rPr>
        <w:t>CHAPTER 18</w:t>
      </w:r>
    </w:p>
    <w:p>
      <w:pPr>
        <w:pStyle w:val="Title"/>
        <w:keepNext/>
        <w:widowControl/>
      </w:pPr>
      <w:r>
        <w:t>Taxes Made Simple</w:t>
      </w:r>
    </w:p>
    <w:p>
      <w:pPr>
        <w:pStyle w:val="MVQuote"/>
        <w:widowControl/>
      </w:pPr>
      <w:r>
        <w:rPr>
          <w:rFonts w:ascii="Aptos" w:hAnsi="Aptos"/>
          <w:b w:val="0"/>
          <w:i/>
          <w:color w:val="24323D"/>
          <w:sz w:val="21"/>
        </w:rPr>
        <w:t>“Tax becomes less frightening when you separate income, deductions, tax paid and filing.”</w:t>
      </w:r>
    </w:p>
    <w:p>
      <w:pPr>
        <w:widowControl/>
      </w:pPr>
      <w:r>
        <w:rPr>
          <w:rFonts w:ascii="Aptos" w:hAnsi="Aptos"/>
          <w:b w:val="0"/>
          <w:i w:val="0"/>
          <w:color w:val="24323D"/>
          <w:sz w:val="21"/>
        </w:rPr>
        <w:t>Ananya returned to paid work from home after a four-year break. Her first client deducted tax before paying her. Her bank credited interest. She sold a mutual fund. Suddenly the words TDS, capital gains and ITR appeared in three different places.</w:t>
      </w:r>
    </w:p>
    <w:p>
      <w:pPr>
        <w:widowControl/>
      </w:pPr>
      <w:r>
        <w:rPr>
          <w:rFonts w:ascii="Aptos" w:hAnsi="Aptos"/>
          <w:b w:val="0"/>
          <w:i w:val="0"/>
          <w:color w:val="24323D"/>
          <w:sz w:val="21"/>
        </w:rPr>
        <w:t>She did not need to become a tax expert. She needed a map: What income did I earn? Which regime applies? What tax has already been paid? What must I report? When should I ask a professional?</w:t>
      </w:r>
    </w:p>
    <w:tbl>
      <w:tblPr>
        <w:tblW w:type="auto" w:w="0"/>
        <w:jc w:val="center"/>
        <w:tblLayout w:type="fixed"/>
        <w:tblLook w:firstColumn="1" w:firstRow="1" w:lastColumn="0" w:lastRow="0" w:noHBand="0" w:noVBand="1" w:val="04A0"/>
      </w:tblPr>
      <w:tblGrid>
        <w:gridCol w:w="9648"/>
      </w:tblGrid>
      <w:tr>
        <w:tc>
          <w:tcPr>
            <w:tcW w:type="dxa" w:w="9400"/>
            <w:shd w:fill="EAF3F2"/>
            <w:tcMar>
              <w:top w:w="150" w:type="dxa"/>
              <w:start w:w="180" w:type="dxa"/>
              <w:bottom w:w="150" w:type="dxa"/>
              <w:end w:w="180" w:type="dxa"/>
            </w:tcMar>
          </w:tcPr>
          <w:p>
            <w:pPr>
              <w:spacing w:after="80"/>
            </w:pPr>
            <w:r>
              <w:rPr>
                <w:rFonts w:ascii="Aptos" w:hAnsi="Aptos"/>
                <w:b/>
                <w:i w:val="0"/>
                <w:color w:val="3E8C84"/>
                <w:sz w:val="18"/>
              </w:rPr>
              <w:t>IMPORTANT DATE NOTE</w:t>
            </w:r>
          </w:p>
          <w:p>
            <w:pPr>
              <w:spacing w:after="0"/>
            </w:pPr>
            <w:r>
              <w:rPr>
                <w:rFonts w:ascii="Aptos" w:hAnsi="Aptos"/>
                <w:b w:val="0"/>
                <w:i w:val="0"/>
                <w:color w:val="24323D"/>
                <w:sz w:val="20"/>
              </w:rPr>
              <w:t>This chapter uses rules for income earned in financial year 2025–26 and returns filed for Assessment Year 2026–27, verified on 22 July 2026. From 1 April 2026, the Income-tax Act, 2025 introduced the term “Tax Year” for income earned in FY 2026–27 onward. Current-year rates, forms and definitions must always be rechecked.</w:t>
            </w:r>
          </w:p>
        </w:tc>
      </w:tr>
    </w:tbl>
    <w:p>
      <w:pPr>
        <w:widowControl/>
        <w:spacing w:after="20"/>
      </w:pPr>
    </w:p>
    <w:p>
      <w:pPr>
        <w:pStyle w:val="Heading1"/>
        <w:keepNext/>
        <w:widowControl/>
      </w:pPr>
      <w:r>
        <w:t>The four-part tax map</w:t>
      </w:r>
    </w:p>
    <w:tbl>
      <w:tblPr>
        <w:tblStyle w:val="TableGrid"/>
        <w:tblW w:type="dxa" w:w="9648"/>
        <w:jc w:val="center"/>
        <w:tblLayout w:type="fixed"/>
        <w:tblLook w:firstColumn="1" w:firstRow="1" w:lastColumn="0" w:lastRow="0" w:noHBand="0" w:noVBand="1" w:val="04A0"/>
      </w:tblPr>
      <w:tblGrid>
        <w:gridCol w:w="1450"/>
        <w:gridCol w:w="3400"/>
        <w:gridCol w:w="4798"/>
      </w:tblGrid>
      <w:tr>
        <w:trPr>
          <w:tblHeader w:val="true"/>
        </w:trPr>
        <w:tc>
          <w:tcPr>
            <w:tcW w:type="dxa" w:w="1450"/>
            <w:shd w:fill="24445C"/>
            <w:tcMar>
              <w:top w:w="90" w:type="dxa"/>
              <w:start w:w="120" w:type="dxa"/>
              <w:bottom w:w="90" w:type="dxa"/>
              <w:end w:w="120" w:type="dxa"/>
            </w:tcMar>
            <w:vAlign w:val="center"/>
          </w:tcPr>
          <w:p>
            <w:pPr>
              <w:spacing w:after="0"/>
            </w:pPr>
            <w:r>
              <w:rPr>
                <w:rFonts w:ascii="Aptos" w:hAnsi="Aptos"/>
                <w:b/>
                <w:i w:val="0"/>
                <w:color w:val="FFFFFF"/>
                <w:sz w:val="18"/>
              </w:rPr>
              <w:t>Part</w:t>
            </w:r>
          </w:p>
        </w:tc>
        <w:tc>
          <w:tcPr>
            <w:tcW w:type="dxa" w:w="3400"/>
            <w:shd w:fill="24445C"/>
            <w:tcMar>
              <w:top w:w="90" w:type="dxa"/>
              <w:start w:w="120" w:type="dxa"/>
              <w:bottom w:w="90" w:type="dxa"/>
              <w:end w:w="120" w:type="dxa"/>
            </w:tcMar>
            <w:vAlign w:val="center"/>
          </w:tcPr>
          <w:p>
            <w:pPr>
              <w:spacing w:after="0"/>
            </w:pPr>
            <w:r>
              <w:rPr>
                <w:rFonts w:ascii="Aptos" w:hAnsi="Aptos"/>
                <w:b/>
                <w:i w:val="0"/>
                <w:color w:val="FFFFFF"/>
                <w:sz w:val="18"/>
              </w:rPr>
              <w:t>Simple meaning</w:t>
            </w:r>
          </w:p>
        </w:tc>
        <w:tc>
          <w:tcPr>
            <w:tcW w:type="dxa" w:w="4798"/>
            <w:shd w:fill="24445C"/>
            <w:tcMar>
              <w:top w:w="90" w:type="dxa"/>
              <w:start w:w="120" w:type="dxa"/>
              <w:bottom w:w="90" w:type="dxa"/>
              <w:end w:w="120" w:type="dxa"/>
            </w:tcMar>
            <w:vAlign w:val="center"/>
          </w:tcPr>
          <w:p>
            <w:pPr>
              <w:spacing w:after="0"/>
            </w:pPr>
            <w:r>
              <w:rPr>
                <w:rFonts w:ascii="Aptos" w:hAnsi="Aptos"/>
                <w:b/>
                <w:i w:val="0"/>
                <w:color w:val="FFFFFF"/>
                <w:sz w:val="18"/>
              </w:rPr>
              <w:t>Where to look</w:t>
            </w:r>
          </w:p>
        </w:tc>
      </w:tr>
      <w:tr>
        <w:tc>
          <w:tcPr>
            <w:tcW w:type="dxa" w:w="1450"/>
            <w:tcMar>
              <w:top w:w="90" w:type="dxa"/>
              <w:start w:w="120" w:type="dxa"/>
              <w:bottom w:w="90" w:type="dxa"/>
              <w:end w:w="120" w:type="dxa"/>
            </w:tcMar>
            <w:vAlign w:val="center"/>
          </w:tcPr>
          <w:p>
            <w:pPr>
              <w:spacing w:after="0" w:line="252" w:lineRule="auto"/>
            </w:pPr>
            <w:r>
              <w:rPr>
                <w:rFonts w:ascii="Aptos" w:hAnsi="Aptos"/>
                <w:b w:val="0"/>
                <w:i w:val="0"/>
                <w:color w:val="24323D"/>
                <w:sz w:val="17"/>
              </w:rPr>
              <w:t>Income</w:t>
            </w:r>
          </w:p>
        </w:tc>
        <w:tc>
          <w:tcPr>
            <w:tcW w:type="dxa" w:w="3400"/>
            <w:tcMar>
              <w:top w:w="90" w:type="dxa"/>
              <w:start w:w="120" w:type="dxa"/>
              <w:bottom w:w="90" w:type="dxa"/>
              <w:end w:w="120" w:type="dxa"/>
            </w:tcMar>
            <w:vAlign w:val="center"/>
          </w:tcPr>
          <w:p>
            <w:pPr>
              <w:spacing w:after="0" w:line="252" w:lineRule="auto"/>
            </w:pPr>
            <w:r>
              <w:rPr>
                <w:rFonts w:ascii="Aptos" w:hAnsi="Aptos"/>
                <w:b w:val="0"/>
                <w:i w:val="0"/>
                <w:color w:val="24323D"/>
                <w:sz w:val="17"/>
              </w:rPr>
              <w:t>Money or value taxable under a recognised head</w:t>
            </w:r>
          </w:p>
        </w:tc>
        <w:tc>
          <w:tcPr>
            <w:tcW w:type="dxa" w:w="4798"/>
            <w:tcMar>
              <w:top w:w="90" w:type="dxa"/>
              <w:start w:w="120" w:type="dxa"/>
              <w:bottom w:w="90" w:type="dxa"/>
              <w:end w:w="120" w:type="dxa"/>
            </w:tcMar>
            <w:vAlign w:val="center"/>
          </w:tcPr>
          <w:p>
            <w:pPr>
              <w:spacing w:after="0" w:line="252" w:lineRule="auto"/>
            </w:pPr>
            <w:r>
              <w:rPr>
                <w:rFonts w:ascii="Aptos" w:hAnsi="Aptos"/>
                <w:b w:val="0"/>
                <w:i w:val="0"/>
                <w:color w:val="24323D"/>
                <w:sz w:val="17"/>
              </w:rPr>
              <w:t>Salary records, bank interest, rent, business books, investment statements.</w:t>
            </w:r>
          </w:p>
        </w:tc>
      </w:tr>
      <w:tr>
        <w:tc>
          <w:tcPr>
            <w:tcW w:type="dxa" w:w="14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Adjustments</w:t>
            </w:r>
          </w:p>
        </w:tc>
        <w:tc>
          <w:tcPr>
            <w:tcW w:type="dxa" w:w="34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Exemptions and deductions allowed under the chosen regime</w:t>
            </w:r>
          </w:p>
        </w:tc>
        <w:tc>
          <w:tcPr>
            <w:tcW w:type="dxa" w:w="4798"/>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Form 16, proof of eligible payments, official tax rules.</w:t>
            </w:r>
          </w:p>
        </w:tc>
      </w:tr>
      <w:tr>
        <w:tc>
          <w:tcPr>
            <w:tcW w:type="dxa" w:w="1450"/>
            <w:tcMar>
              <w:top w:w="90" w:type="dxa"/>
              <w:start w:w="120" w:type="dxa"/>
              <w:bottom w:w="90" w:type="dxa"/>
              <w:end w:w="120" w:type="dxa"/>
            </w:tcMar>
            <w:vAlign w:val="center"/>
          </w:tcPr>
          <w:p>
            <w:pPr>
              <w:spacing w:after="0" w:line="252" w:lineRule="auto"/>
            </w:pPr>
            <w:r>
              <w:rPr>
                <w:rFonts w:ascii="Aptos" w:hAnsi="Aptos"/>
                <w:b w:val="0"/>
                <w:i w:val="0"/>
                <w:color w:val="24323D"/>
                <w:sz w:val="17"/>
              </w:rPr>
              <w:t>Tax paid</w:t>
            </w:r>
          </w:p>
        </w:tc>
        <w:tc>
          <w:tcPr>
            <w:tcW w:type="dxa" w:w="3400"/>
            <w:tcMar>
              <w:top w:w="90" w:type="dxa"/>
              <w:start w:w="120" w:type="dxa"/>
              <w:bottom w:w="90" w:type="dxa"/>
              <w:end w:w="120" w:type="dxa"/>
            </w:tcMar>
            <w:vAlign w:val="center"/>
          </w:tcPr>
          <w:p>
            <w:pPr>
              <w:spacing w:after="0" w:line="252" w:lineRule="auto"/>
            </w:pPr>
            <w:r>
              <w:rPr>
                <w:rFonts w:ascii="Aptos" w:hAnsi="Aptos"/>
                <w:b w:val="0"/>
                <w:i w:val="0"/>
                <w:color w:val="24323D"/>
                <w:sz w:val="17"/>
              </w:rPr>
              <w:t>TDS/TCS, advance tax and self-assessment tax</w:t>
            </w:r>
          </w:p>
        </w:tc>
        <w:tc>
          <w:tcPr>
            <w:tcW w:type="dxa" w:w="4798"/>
            <w:tcMar>
              <w:top w:w="90" w:type="dxa"/>
              <w:start w:w="120" w:type="dxa"/>
              <w:bottom w:w="90" w:type="dxa"/>
              <w:end w:w="120" w:type="dxa"/>
            </w:tcMar>
            <w:vAlign w:val="center"/>
          </w:tcPr>
          <w:p>
            <w:pPr>
              <w:spacing w:after="0" w:line="252" w:lineRule="auto"/>
            </w:pPr>
            <w:r>
              <w:rPr>
                <w:rFonts w:ascii="Aptos" w:hAnsi="Aptos"/>
                <w:b w:val="0"/>
                <w:i w:val="0"/>
                <w:color w:val="24323D"/>
                <w:sz w:val="17"/>
              </w:rPr>
              <w:t>Form 26AS, AIS/TIS, challans and certificates.</w:t>
            </w:r>
          </w:p>
        </w:tc>
      </w:tr>
      <w:tr>
        <w:tc>
          <w:tcPr>
            <w:tcW w:type="dxa" w:w="14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Return</w:t>
            </w:r>
          </w:p>
        </w:tc>
        <w:tc>
          <w:tcPr>
            <w:tcW w:type="dxa" w:w="34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Your annual statement to the Income Tax Department</w:t>
            </w:r>
          </w:p>
        </w:tc>
        <w:tc>
          <w:tcPr>
            <w:tcW w:type="dxa" w:w="4798"/>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Correct ITR form, filed and verified on the official portal.</w:t>
            </w:r>
          </w:p>
        </w:tc>
      </w:tr>
    </w:tbl>
    <w:p>
      <w:pPr>
        <w:widowControl/>
        <w:spacing w:after="20"/>
      </w:pPr>
    </w:p>
    <w:p>
      <w:pPr>
        <w:pStyle w:val="Heading1"/>
        <w:keepNext/>
        <w:widowControl/>
      </w:pPr>
      <w:r>
        <w:t>Income is wider than salary</w:t>
      </w:r>
    </w:p>
    <w:p>
      <w:pPr>
        <w:widowControl/>
      </w:pPr>
      <w:r>
        <w:rPr>
          <w:rFonts w:ascii="Aptos" w:hAnsi="Aptos"/>
          <w:b w:val="0"/>
          <w:i w:val="0"/>
          <w:color w:val="24323D"/>
          <w:sz w:val="21"/>
        </w:rPr>
        <w:t>For individuals, income is commonly organised under five heads: salary; house property; profits and gains from business or profession; capital gains; and income from other sources. A mother who earns from consulting, tuition, online sales or a home business may have business or professional income even if she does not call herself a business owner.</w:t>
      </w:r>
    </w:p>
    <w:tbl>
      <w:tblPr>
        <w:tblStyle w:val="TableGrid"/>
        <w:tblW w:type="dxa" w:w="9648"/>
        <w:jc w:val="center"/>
        <w:tblLayout w:type="fixed"/>
        <w:tblLook w:firstColumn="1" w:firstRow="1" w:lastColumn="0" w:lastRow="0" w:noHBand="0" w:noVBand="1" w:val="04A0"/>
      </w:tblPr>
      <w:tblGrid>
        <w:gridCol w:w="2600"/>
        <w:gridCol w:w="2600"/>
        <w:gridCol w:w="4448"/>
      </w:tblGrid>
      <w:tr>
        <w:trPr>
          <w:tblHeader w:val="true"/>
        </w:trPr>
        <w:tc>
          <w:tcPr>
            <w:tcW w:type="dxa" w:w="2600"/>
            <w:shd w:fill="24445C"/>
            <w:tcMar>
              <w:top w:w="90" w:type="dxa"/>
              <w:start w:w="120" w:type="dxa"/>
              <w:bottom w:w="90" w:type="dxa"/>
              <w:end w:w="120" w:type="dxa"/>
            </w:tcMar>
            <w:vAlign w:val="center"/>
          </w:tcPr>
          <w:p>
            <w:pPr>
              <w:spacing w:after="0"/>
            </w:pPr>
            <w:r>
              <w:rPr>
                <w:rFonts w:ascii="Aptos" w:hAnsi="Aptos"/>
                <w:b/>
                <w:i w:val="0"/>
                <w:color w:val="FFFFFF"/>
                <w:sz w:val="18"/>
              </w:rPr>
              <w:t>Source</w:t>
            </w:r>
          </w:p>
        </w:tc>
        <w:tc>
          <w:tcPr>
            <w:tcW w:type="dxa" w:w="2600"/>
            <w:shd w:fill="24445C"/>
            <w:tcMar>
              <w:top w:w="90" w:type="dxa"/>
              <w:start w:w="120" w:type="dxa"/>
              <w:bottom w:w="90" w:type="dxa"/>
              <w:end w:w="120" w:type="dxa"/>
            </w:tcMar>
            <w:vAlign w:val="center"/>
          </w:tcPr>
          <w:p>
            <w:pPr>
              <w:spacing w:after="0"/>
            </w:pPr>
            <w:r>
              <w:rPr>
                <w:rFonts w:ascii="Aptos" w:hAnsi="Aptos"/>
                <w:b/>
                <w:i w:val="0"/>
                <w:color w:val="FFFFFF"/>
                <w:sz w:val="18"/>
              </w:rPr>
              <w:t>Typical tax bucket</w:t>
            </w:r>
          </w:p>
        </w:tc>
        <w:tc>
          <w:tcPr>
            <w:tcW w:type="dxa" w:w="4448"/>
            <w:shd w:fill="24445C"/>
            <w:tcMar>
              <w:top w:w="90" w:type="dxa"/>
              <w:start w:w="120" w:type="dxa"/>
              <w:bottom w:w="90" w:type="dxa"/>
              <w:end w:w="120" w:type="dxa"/>
            </w:tcMar>
            <w:vAlign w:val="center"/>
          </w:tcPr>
          <w:p>
            <w:pPr>
              <w:spacing w:after="0"/>
            </w:pPr>
            <w:r>
              <w:rPr>
                <w:rFonts w:ascii="Aptos" w:hAnsi="Aptos"/>
                <w:b/>
                <w:i w:val="0"/>
                <w:color w:val="FFFFFF"/>
                <w:sz w:val="18"/>
              </w:rPr>
              <w:t>Records to keep</w:t>
            </w:r>
          </w:p>
        </w:tc>
      </w:tr>
      <w:tr>
        <w:tc>
          <w:tcPr>
            <w:tcW w:type="dxa" w:w="2600"/>
            <w:tcMar>
              <w:top w:w="90" w:type="dxa"/>
              <w:start w:w="120" w:type="dxa"/>
              <w:bottom w:w="90" w:type="dxa"/>
              <w:end w:w="120" w:type="dxa"/>
            </w:tcMar>
            <w:vAlign w:val="center"/>
          </w:tcPr>
          <w:p>
            <w:pPr>
              <w:spacing w:after="0" w:line="252" w:lineRule="auto"/>
            </w:pPr>
            <w:r>
              <w:rPr>
                <w:rFonts w:ascii="Aptos" w:hAnsi="Aptos"/>
                <w:b w:val="0"/>
                <w:i w:val="0"/>
                <w:color w:val="24323D"/>
                <w:sz w:val="17"/>
              </w:rPr>
              <w:t>Salary / pension</w:t>
            </w:r>
          </w:p>
        </w:tc>
        <w:tc>
          <w:tcPr>
            <w:tcW w:type="dxa" w:w="2600"/>
            <w:tcMar>
              <w:top w:w="90" w:type="dxa"/>
              <w:start w:w="120" w:type="dxa"/>
              <w:bottom w:w="90" w:type="dxa"/>
              <w:end w:w="120" w:type="dxa"/>
            </w:tcMar>
            <w:vAlign w:val="center"/>
          </w:tcPr>
          <w:p>
            <w:pPr>
              <w:spacing w:after="0" w:line="252" w:lineRule="auto"/>
            </w:pPr>
            <w:r>
              <w:rPr>
                <w:rFonts w:ascii="Aptos" w:hAnsi="Aptos"/>
                <w:b w:val="0"/>
                <w:i w:val="0"/>
                <w:color w:val="24323D"/>
                <w:sz w:val="17"/>
              </w:rPr>
              <w:t>Salary</w:t>
            </w:r>
          </w:p>
        </w:tc>
        <w:tc>
          <w:tcPr>
            <w:tcW w:type="dxa" w:w="4448"/>
            <w:tcMar>
              <w:top w:w="90" w:type="dxa"/>
              <w:start w:w="120" w:type="dxa"/>
              <w:bottom w:w="90" w:type="dxa"/>
              <w:end w:w="120" w:type="dxa"/>
            </w:tcMar>
            <w:vAlign w:val="center"/>
          </w:tcPr>
          <w:p>
            <w:pPr>
              <w:spacing w:after="0" w:line="252" w:lineRule="auto"/>
            </w:pPr>
            <w:r>
              <w:rPr>
                <w:rFonts w:ascii="Aptos" w:hAnsi="Aptos"/>
                <w:b w:val="0"/>
                <w:i w:val="0"/>
                <w:color w:val="24323D"/>
                <w:sz w:val="17"/>
              </w:rPr>
              <w:t>Form 16, payslips, employer reimbursements.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Rent from property</w:t>
            </w:r>
          </w:p>
        </w:tc>
        <w:tc>
          <w:tcPr>
            <w:tcW w:type="dxa" w:w="2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House property</w:t>
            </w:r>
          </w:p>
        </w:tc>
        <w:tc>
          <w:tcPr>
            <w:tcW w:type="dxa" w:w="4448"/>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Rent agreement, receipts, municipal tax and loan-interest documents.</w:t>
            </w:r>
          </w:p>
        </w:tc>
      </w:tr>
      <w:tr>
        <w:tc>
          <w:tcPr>
            <w:tcW w:type="dxa" w:w="2600"/>
            <w:tcMar>
              <w:top w:w="90" w:type="dxa"/>
              <w:start w:w="120" w:type="dxa"/>
              <w:bottom w:w="90" w:type="dxa"/>
              <w:end w:w="120" w:type="dxa"/>
            </w:tcMar>
            <w:vAlign w:val="center"/>
          </w:tcPr>
          <w:p>
            <w:pPr>
              <w:spacing w:after="0" w:line="252" w:lineRule="auto"/>
            </w:pPr>
            <w:r>
              <w:rPr>
                <w:rFonts w:ascii="Aptos" w:hAnsi="Aptos"/>
                <w:b w:val="0"/>
                <w:i w:val="0"/>
                <w:color w:val="24323D"/>
                <w:sz w:val="17"/>
              </w:rPr>
              <w:t>Freelancing / consulting / home business</w:t>
            </w:r>
          </w:p>
        </w:tc>
        <w:tc>
          <w:tcPr>
            <w:tcW w:type="dxa" w:w="2600"/>
            <w:tcMar>
              <w:top w:w="90" w:type="dxa"/>
              <w:start w:w="120" w:type="dxa"/>
              <w:bottom w:w="90" w:type="dxa"/>
              <w:end w:w="120" w:type="dxa"/>
            </w:tcMar>
            <w:vAlign w:val="center"/>
          </w:tcPr>
          <w:p>
            <w:pPr>
              <w:spacing w:after="0" w:line="252" w:lineRule="auto"/>
            </w:pPr>
            <w:r>
              <w:rPr>
                <w:rFonts w:ascii="Aptos" w:hAnsi="Aptos"/>
                <w:b w:val="0"/>
                <w:i w:val="0"/>
                <w:color w:val="24323D"/>
                <w:sz w:val="17"/>
              </w:rPr>
              <w:t>Business or profession</w:t>
            </w:r>
          </w:p>
        </w:tc>
        <w:tc>
          <w:tcPr>
            <w:tcW w:type="dxa" w:w="4448"/>
            <w:tcMar>
              <w:top w:w="90" w:type="dxa"/>
              <w:start w:w="120" w:type="dxa"/>
              <w:bottom w:w="90" w:type="dxa"/>
              <w:end w:w="120" w:type="dxa"/>
            </w:tcMar>
            <w:vAlign w:val="center"/>
          </w:tcPr>
          <w:p>
            <w:pPr>
              <w:spacing w:after="0" w:line="252" w:lineRule="auto"/>
            </w:pPr>
            <w:r>
              <w:rPr>
                <w:rFonts w:ascii="Aptos" w:hAnsi="Aptos"/>
                <w:b w:val="0"/>
                <w:i w:val="0"/>
                <w:color w:val="24323D"/>
                <w:sz w:val="17"/>
              </w:rPr>
              <w:t>Invoices, receipts, bank records, expense proofs, TDS certificates.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Sale of shares, funds, gold or property</w:t>
            </w:r>
          </w:p>
        </w:tc>
        <w:tc>
          <w:tcPr>
            <w:tcW w:type="dxa" w:w="2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Capital gains</w:t>
            </w:r>
          </w:p>
        </w:tc>
        <w:tc>
          <w:tcPr>
            <w:tcW w:type="dxa" w:w="4448"/>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Buy/sell statements, dates, costs, improvement and transfer expenses.</w:t>
            </w:r>
          </w:p>
        </w:tc>
      </w:tr>
      <w:tr>
        <w:tc>
          <w:tcPr>
            <w:tcW w:type="dxa" w:w="2600"/>
            <w:tcMar>
              <w:top w:w="90" w:type="dxa"/>
              <w:start w:w="120" w:type="dxa"/>
              <w:bottom w:w="90" w:type="dxa"/>
              <w:end w:w="120" w:type="dxa"/>
            </w:tcMar>
            <w:vAlign w:val="center"/>
          </w:tcPr>
          <w:p>
            <w:pPr>
              <w:spacing w:after="0" w:line="252" w:lineRule="auto"/>
            </w:pPr>
            <w:r>
              <w:rPr>
                <w:rFonts w:ascii="Aptos" w:hAnsi="Aptos"/>
                <w:b w:val="0"/>
                <w:i w:val="0"/>
                <w:color w:val="24323D"/>
                <w:sz w:val="17"/>
              </w:rPr>
              <w:t>Bank interest, dividends, family pension</w:t>
            </w:r>
          </w:p>
        </w:tc>
        <w:tc>
          <w:tcPr>
            <w:tcW w:type="dxa" w:w="2600"/>
            <w:tcMar>
              <w:top w:w="90" w:type="dxa"/>
              <w:start w:w="120" w:type="dxa"/>
              <w:bottom w:w="90" w:type="dxa"/>
              <w:end w:w="120" w:type="dxa"/>
            </w:tcMar>
            <w:vAlign w:val="center"/>
          </w:tcPr>
          <w:p>
            <w:pPr>
              <w:spacing w:after="0" w:line="252" w:lineRule="auto"/>
            </w:pPr>
            <w:r>
              <w:rPr>
                <w:rFonts w:ascii="Aptos" w:hAnsi="Aptos"/>
                <w:b w:val="0"/>
                <w:i w:val="0"/>
                <w:color w:val="24323D"/>
                <w:sz w:val="17"/>
              </w:rPr>
              <w:t>Other sources</w:t>
            </w:r>
          </w:p>
        </w:tc>
        <w:tc>
          <w:tcPr>
            <w:tcW w:type="dxa" w:w="4448"/>
            <w:tcMar>
              <w:top w:w="90" w:type="dxa"/>
              <w:start w:w="120" w:type="dxa"/>
              <w:bottom w:w="90" w:type="dxa"/>
              <w:end w:w="120" w:type="dxa"/>
            </w:tcMar>
            <w:vAlign w:val="center"/>
          </w:tcPr>
          <w:p>
            <w:pPr>
              <w:spacing w:after="0" w:line="252" w:lineRule="auto"/>
            </w:pPr>
            <w:r>
              <w:rPr>
                <w:rFonts w:ascii="Aptos" w:hAnsi="Aptos"/>
                <w:b w:val="0"/>
                <w:i w:val="0"/>
                <w:color w:val="24323D"/>
                <w:sz w:val="17"/>
              </w:rPr>
              <w:t>Interest certificates, statements, dividend records.</w:t>
            </w:r>
          </w:p>
        </w:tc>
      </w:tr>
    </w:tbl>
    <w:p>
      <w:pPr>
        <w:widowControl/>
        <w:spacing w:after="20"/>
      </w:pPr>
    </w:p>
    <w:p>
      <w:pPr>
        <w:pStyle w:val="Heading1"/>
        <w:keepNext/>
        <w:widowControl/>
      </w:pPr>
      <w:r>
        <w:t>TDS is not a second tax</w:t>
      </w:r>
    </w:p>
    <w:p>
      <w:pPr>
        <w:widowControl/>
      </w:pPr>
      <w:r>
        <w:rPr>
          <w:rFonts w:ascii="Aptos" w:hAnsi="Aptos"/>
          <w:b w:val="0"/>
          <w:i w:val="0"/>
          <w:color w:val="24323D"/>
          <w:sz w:val="21"/>
        </w:rPr>
        <w:t>Tax Deducted at Source means the payer deducts tax and deposits it against your PAN. It is a credit toward your final tax liability, not always the final amount. If too much was deducted, the return may produce a refund; if too little was deducted, more may be payable.</w:t>
      </w:r>
    </w:p>
    <w:p>
      <w:pPr>
        <w:widowControl/>
      </w:pPr>
      <w:r>
        <w:rPr>
          <w:rFonts w:ascii="Aptos" w:hAnsi="Aptos"/>
          <w:b w:val="0"/>
          <w:i w:val="0"/>
          <w:color w:val="24323D"/>
          <w:sz w:val="21"/>
        </w:rPr>
        <w:t>Check Form 26AS and the Annual Information Statement (AIS). Compare them with your own records. An item appearing in AIS is a prompt to review, not a reason to blindly accept an error. Use the portal’s feedback process where appropriate.</w:t>
      </w:r>
    </w:p>
    <w:p>
      <w:pPr>
        <w:pStyle w:val="Heading1"/>
        <w:keepNext/>
        <w:widowControl/>
      </w:pPr>
      <w:r>
        <w:t>New regime and old regime</w:t>
      </w:r>
    </w:p>
    <w:p>
      <w:pPr>
        <w:widowControl/>
      </w:pPr>
      <w:r>
        <w:rPr>
          <w:rFonts w:ascii="Aptos" w:hAnsi="Aptos"/>
          <w:b w:val="0"/>
          <w:i w:val="0"/>
          <w:color w:val="24323D"/>
          <w:sz w:val="21"/>
        </w:rPr>
        <w:t>For AY 2026–27, the new regime is the default for eligible individuals. It uses different slabs and allows fewer common exemptions and deductions. The old regime retains many deductions and exemptions but uses older slab rates. “New” does not automatically mean cheaper, and “old” does not automatically mean better. The comparison depends on income type, eligible deductions and personal circumstances.</w:t>
      </w:r>
    </w:p>
    <w:tbl>
      <w:tblPr>
        <w:tblStyle w:val="TableGrid"/>
        <w:tblW w:type="dxa" w:w="9648"/>
        <w:jc w:val="center"/>
        <w:tblLayout w:type="fixed"/>
        <w:tblLook w:firstColumn="1" w:firstRow="1" w:lastColumn="0" w:lastRow="0" w:noHBand="0" w:noVBand="1" w:val="04A0"/>
      </w:tblPr>
      <w:tblGrid>
        <w:gridCol w:w="1700"/>
        <w:gridCol w:w="3974"/>
        <w:gridCol w:w="3974"/>
      </w:tblGrid>
      <w:tr>
        <w:trPr>
          <w:tblHeader w:val="true"/>
        </w:trPr>
        <w:tc>
          <w:tcPr>
            <w:tcW w:type="dxa" w:w="1700"/>
            <w:shd w:fill="24445C"/>
            <w:tcMar>
              <w:top w:w="90" w:type="dxa"/>
              <w:start w:w="120" w:type="dxa"/>
              <w:bottom w:w="90" w:type="dxa"/>
              <w:end w:w="120" w:type="dxa"/>
            </w:tcMar>
            <w:vAlign w:val="center"/>
          </w:tcPr>
          <w:p>
            <w:pPr>
              <w:spacing w:after="0"/>
            </w:pPr>
            <w:r>
              <w:rPr>
                <w:rFonts w:ascii="Aptos" w:hAnsi="Aptos"/>
                <w:b/>
                <w:i w:val="0"/>
                <w:color w:val="FFFFFF"/>
                <w:sz w:val="18"/>
              </w:rPr>
              <w:t>Feature</w:t>
            </w:r>
          </w:p>
        </w:tc>
        <w:tc>
          <w:tcPr>
            <w:tcW w:type="dxa" w:w="3974"/>
            <w:shd w:fill="24445C"/>
            <w:tcMar>
              <w:top w:w="90" w:type="dxa"/>
              <w:start w:w="120" w:type="dxa"/>
              <w:bottom w:w="90" w:type="dxa"/>
              <w:end w:w="120" w:type="dxa"/>
            </w:tcMar>
            <w:vAlign w:val="center"/>
          </w:tcPr>
          <w:p>
            <w:pPr>
              <w:spacing w:after="0"/>
            </w:pPr>
            <w:r>
              <w:rPr>
                <w:rFonts w:ascii="Aptos" w:hAnsi="Aptos"/>
                <w:b/>
                <w:i w:val="0"/>
                <w:color w:val="FFFFFF"/>
                <w:sz w:val="18"/>
              </w:rPr>
              <w:t>New regime (AY 2026–27)</w:t>
            </w:r>
          </w:p>
        </w:tc>
        <w:tc>
          <w:tcPr>
            <w:tcW w:type="dxa" w:w="3974"/>
            <w:shd w:fill="24445C"/>
            <w:tcMar>
              <w:top w:w="90" w:type="dxa"/>
              <w:start w:w="120" w:type="dxa"/>
              <w:bottom w:w="90" w:type="dxa"/>
              <w:end w:w="120" w:type="dxa"/>
            </w:tcMar>
            <w:vAlign w:val="center"/>
          </w:tcPr>
          <w:p>
            <w:pPr>
              <w:spacing w:after="0"/>
            </w:pPr>
            <w:r>
              <w:rPr>
                <w:rFonts w:ascii="Aptos" w:hAnsi="Aptos"/>
                <w:b/>
                <w:i w:val="0"/>
                <w:color w:val="FFFFFF"/>
                <w:sz w:val="18"/>
              </w:rPr>
              <w:t>Old regime (AY 2026–27)</w:t>
            </w:r>
          </w:p>
        </w:tc>
      </w:tr>
      <w:tr>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5"/>
              </w:rPr>
              <w:t>Default?</w:t>
            </w:r>
          </w:p>
        </w:tc>
        <w:tc>
          <w:tcPr>
            <w:tcW w:type="dxa" w:w="3974"/>
            <w:tcMar>
              <w:top w:w="90" w:type="dxa"/>
              <w:start w:w="120" w:type="dxa"/>
              <w:bottom w:w="90" w:type="dxa"/>
              <w:end w:w="120" w:type="dxa"/>
            </w:tcMar>
            <w:vAlign w:val="center"/>
          </w:tcPr>
          <w:p>
            <w:pPr>
              <w:spacing w:after="0" w:line="252" w:lineRule="auto"/>
            </w:pPr>
            <w:r>
              <w:rPr>
                <w:rFonts w:ascii="Aptos" w:hAnsi="Aptos"/>
                <w:b w:val="0"/>
                <w:i w:val="0"/>
                <w:color w:val="24323D"/>
                <w:sz w:val="15"/>
              </w:rPr>
              <w:t>Yes, for eligible taxpayers</w:t>
            </w:r>
          </w:p>
        </w:tc>
        <w:tc>
          <w:tcPr>
            <w:tcW w:type="dxa" w:w="3974"/>
            <w:tcMar>
              <w:top w:w="90" w:type="dxa"/>
              <w:start w:w="120" w:type="dxa"/>
              <w:bottom w:w="90" w:type="dxa"/>
              <w:end w:w="120" w:type="dxa"/>
            </w:tcMar>
            <w:vAlign w:val="center"/>
          </w:tcPr>
          <w:p>
            <w:pPr>
              <w:spacing w:after="0" w:line="252" w:lineRule="auto"/>
            </w:pPr>
            <w:r>
              <w:rPr>
                <w:rFonts w:ascii="Aptos" w:hAnsi="Aptos"/>
                <w:b w:val="0"/>
                <w:i w:val="0"/>
                <w:color w:val="24323D"/>
                <w:sz w:val="15"/>
              </w:rPr>
              <w:t>Must be chosen by opting out, subject to rules.</w:t>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Slabs</w:t>
            </w:r>
          </w:p>
        </w:tc>
        <w:tc>
          <w:tcPr>
            <w:tcW w:type="dxa" w:w="3974"/>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₹0–4L nil; 4–8L 5%; 8–12L 10%; 12–16L 15%; 16–20L 20%; 20–24L 25%; above 24L 30%</w:t>
            </w:r>
          </w:p>
        </w:tc>
        <w:tc>
          <w:tcPr>
            <w:tcW w:type="dxa" w:w="3974"/>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For most individuals under 60: ₹0–2.5L nil; 2.5–5L 5%; 5–10L 20%; above 10L 30%.</w:t>
            </w:r>
          </w:p>
        </w:tc>
      </w:tr>
      <w:tr>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5"/>
              </w:rPr>
              <w:t>Rebate for resident individual</w:t>
            </w:r>
          </w:p>
        </w:tc>
        <w:tc>
          <w:tcPr>
            <w:tcW w:type="dxa" w:w="3974"/>
            <w:tcMar>
              <w:top w:w="90" w:type="dxa"/>
              <w:start w:w="120" w:type="dxa"/>
              <w:bottom w:w="90" w:type="dxa"/>
              <w:end w:w="120" w:type="dxa"/>
            </w:tcMar>
            <w:vAlign w:val="center"/>
          </w:tcPr>
          <w:p>
            <w:pPr>
              <w:spacing w:after="0" w:line="252" w:lineRule="auto"/>
            </w:pPr>
            <w:r>
              <w:rPr>
                <w:rFonts w:ascii="Aptos" w:hAnsi="Aptos"/>
                <w:b w:val="0"/>
                <w:i w:val="0"/>
                <w:color w:val="24323D"/>
                <w:sz w:val="15"/>
              </w:rPr>
              <w:t>Up to ₹60,000 when total income does not exceed ₹12L, subject to law and exclusions</w:t>
            </w:r>
          </w:p>
        </w:tc>
        <w:tc>
          <w:tcPr>
            <w:tcW w:type="dxa" w:w="3974"/>
            <w:tcMar>
              <w:top w:w="90" w:type="dxa"/>
              <w:start w:w="120" w:type="dxa"/>
              <w:bottom w:w="90" w:type="dxa"/>
              <w:end w:w="120" w:type="dxa"/>
            </w:tcMar>
            <w:vAlign w:val="center"/>
          </w:tcPr>
          <w:p>
            <w:pPr>
              <w:spacing w:after="0" w:line="252" w:lineRule="auto"/>
            </w:pPr>
            <w:r>
              <w:rPr>
                <w:rFonts w:ascii="Aptos" w:hAnsi="Aptos"/>
                <w:b w:val="0"/>
                <w:i w:val="0"/>
                <w:color w:val="24323D"/>
                <w:sz w:val="15"/>
              </w:rPr>
              <w:t>Up to ₹12,500 when total income does not exceed ₹5L, subject to law.</w:t>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Common deductions</w:t>
            </w:r>
          </w:p>
        </w:tc>
        <w:tc>
          <w:tcPr>
            <w:tcW w:type="dxa" w:w="3974"/>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Many Chapter VI-A deductions are unavailable; permitted items must be checked</w:t>
            </w:r>
          </w:p>
        </w:tc>
        <w:tc>
          <w:tcPr>
            <w:tcW w:type="dxa" w:w="3974"/>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Common eligible deductions may include 80C and 80D, subject to limits and conditions.</w:t>
            </w:r>
          </w:p>
        </w:tc>
      </w:tr>
      <w:tr>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5"/>
              </w:rPr>
              <w:t>Switching</w:t>
            </w:r>
          </w:p>
        </w:tc>
        <w:tc>
          <w:tcPr>
            <w:tcW w:type="dxa" w:w="3974"/>
            <w:tcMar>
              <w:top w:w="90" w:type="dxa"/>
              <w:start w:w="120" w:type="dxa"/>
              <w:bottom w:w="90" w:type="dxa"/>
              <w:end w:w="120" w:type="dxa"/>
            </w:tcMar>
            <w:vAlign w:val="center"/>
          </w:tcPr>
          <w:p>
            <w:pPr>
              <w:spacing w:after="0" w:line="252" w:lineRule="auto"/>
            </w:pPr>
            <w:r>
              <w:rPr>
                <w:rFonts w:ascii="Aptos" w:hAnsi="Aptos"/>
                <w:b w:val="0"/>
                <w:i w:val="0"/>
                <w:color w:val="24323D"/>
                <w:sz w:val="15"/>
              </w:rPr>
              <w:t>Non-business cases can generally choose each year in the return; business/profession cases face special option rules</w:t>
            </w:r>
          </w:p>
        </w:tc>
        <w:tc>
          <w:tcPr>
            <w:tcW w:type="dxa" w:w="3974"/>
            <w:tcMar>
              <w:top w:w="90" w:type="dxa"/>
              <w:start w:w="120" w:type="dxa"/>
              <w:bottom w:w="90" w:type="dxa"/>
              <w:end w:w="120" w:type="dxa"/>
            </w:tcMar>
            <w:vAlign w:val="center"/>
          </w:tcPr>
          <w:p>
            <w:pPr>
              <w:spacing w:after="0" w:line="252" w:lineRule="auto"/>
            </w:pPr>
            <w:r>
              <w:rPr>
                <w:rFonts w:ascii="Aptos" w:hAnsi="Aptos"/>
                <w:b w:val="0"/>
                <w:i w:val="0"/>
                <w:color w:val="24323D"/>
                <w:sz w:val="15"/>
              </w:rPr>
              <w:t>Business/profession taxpayers should obtain advice before switching because restrictions apply.</w:t>
            </w:r>
          </w:p>
        </w:tc>
      </w:tr>
    </w:tbl>
    <w:p>
      <w:pPr>
        <w:widowControl/>
        <w:spacing w:after="20"/>
      </w:pPr>
    </w:p>
    <w:p>
      <w:pPr>
        <w:pStyle w:val="MVSource"/>
        <w:widowControl/>
      </w:pPr>
      <w:r>
        <w:rPr>
          <w:rFonts w:ascii="Aptos" w:hAnsi="Aptos"/>
          <w:b w:val="0"/>
          <w:i w:val="0"/>
          <w:color w:val="24323D"/>
          <w:sz w:val="21"/>
        </w:rPr>
        <w:t>Official basis: Income Tax Department guidance for salaried individuals and ITR filing for AY 2026–27. Health and education cess is 4% on income tax plus surcharge, where applicable.</w:t>
      </w:r>
    </w:p>
    <w:tbl>
      <w:tblPr>
        <w:tblW w:type="auto" w:w="0"/>
        <w:jc w:val="center"/>
        <w:tblLayout w:type="fixed"/>
        <w:tblLook w:firstColumn="1" w:firstRow="1" w:lastColumn="0" w:lastRow="0" w:noHBand="0" w:noVBand="1" w:val="04A0"/>
      </w:tblPr>
      <w:tblGrid>
        <w:gridCol w:w="9648"/>
      </w:tblGrid>
      <w:tr>
        <w:tc>
          <w:tcPr>
            <w:tcW w:type="dxa" w:w="9400"/>
            <w:shd w:fill="EAF3F2"/>
            <w:tcMar>
              <w:top w:w="150" w:type="dxa"/>
              <w:start w:w="180" w:type="dxa"/>
              <w:bottom w:w="150" w:type="dxa"/>
              <w:end w:w="180" w:type="dxa"/>
            </w:tcMar>
          </w:tcPr>
          <w:p>
            <w:pPr>
              <w:spacing w:after="80"/>
            </w:pPr>
            <w:r>
              <w:rPr>
                <w:rFonts w:ascii="Aptos" w:hAnsi="Aptos"/>
                <w:b/>
                <w:i w:val="0"/>
                <w:color w:val="3E8C84"/>
                <w:sz w:val="18"/>
              </w:rPr>
              <w:t>A CRUCIAL NUANCE</w:t>
            </w:r>
          </w:p>
          <w:p>
            <w:pPr>
              <w:spacing w:after="0"/>
            </w:pPr>
            <w:r>
              <w:rPr>
                <w:rFonts w:ascii="Aptos" w:hAnsi="Aptos"/>
                <w:b w:val="0"/>
                <w:i w:val="0"/>
                <w:color w:val="24323D"/>
                <w:sz w:val="20"/>
              </w:rPr>
              <w:t>The section 87A rebate is not the same as a nil tax slab, and special-rate income—such as certain capital gains—may not receive the same rebate treatment. Do not assume “income up to ₹12 lakh means no tax in every situation.”</w:t>
            </w:r>
          </w:p>
        </w:tc>
      </w:tr>
    </w:tbl>
    <w:p>
      <w:pPr>
        <w:widowControl/>
        <w:spacing w:after="20"/>
      </w:pPr>
    </w:p>
    <w:p>
      <w:pPr>
        <w:pStyle w:val="Heading1"/>
        <w:keepNext/>
        <w:widowControl/>
      </w:pPr>
      <w:r>
        <w:t>Deductions are not refunds</w:t>
      </w:r>
    </w:p>
    <w:p>
      <w:pPr>
        <w:widowControl/>
      </w:pPr>
      <w:r>
        <w:rPr>
          <w:rFonts w:ascii="Aptos" w:hAnsi="Aptos"/>
          <w:b w:val="0"/>
          <w:i w:val="0"/>
          <w:color w:val="24323D"/>
          <w:sz w:val="21"/>
        </w:rPr>
        <w:t>A deduction reduces taxable income; it does not give the full amount back. If an eligible ₹10,000 deduction reduces income taxed at 20%, the basic tax effect may be about ₹2,000 before cess—not ₹10,000. Buying an unsuitable product merely to “save tax” can cost more than the tax saved.</w:t>
      </w:r>
    </w:p>
    <w:tbl>
      <w:tblPr>
        <w:tblStyle w:val="TableGrid"/>
        <w:tblW w:type="dxa" w:w="9648"/>
        <w:jc w:val="center"/>
        <w:tblLayout w:type="fixed"/>
        <w:tblLook w:firstColumn="1" w:firstRow="1" w:lastColumn="0" w:lastRow="0" w:noHBand="0" w:noVBand="1" w:val="04A0"/>
      </w:tblPr>
      <w:tblGrid>
        <w:gridCol w:w="1700"/>
        <w:gridCol w:w="4600"/>
        <w:gridCol w:w="3348"/>
      </w:tblGrid>
      <w:tr>
        <w:trPr>
          <w:tblHeader w:val="true"/>
        </w:trPr>
        <w:tc>
          <w:tcPr>
            <w:tcW w:type="dxa" w:w="1700"/>
            <w:shd w:fill="24445C"/>
            <w:tcMar>
              <w:top w:w="90" w:type="dxa"/>
              <w:start w:w="120" w:type="dxa"/>
              <w:bottom w:w="90" w:type="dxa"/>
              <w:end w:w="120" w:type="dxa"/>
            </w:tcMar>
            <w:vAlign w:val="center"/>
          </w:tcPr>
          <w:p>
            <w:pPr>
              <w:spacing w:after="0"/>
            </w:pPr>
            <w:r>
              <w:rPr>
                <w:rFonts w:ascii="Aptos" w:hAnsi="Aptos"/>
                <w:b/>
                <w:i w:val="0"/>
                <w:color w:val="FFFFFF"/>
                <w:sz w:val="18"/>
              </w:rPr>
              <w:t>Common item</w:t>
            </w:r>
          </w:p>
        </w:tc>
        <w:tc>
          <w:tcPr>
            <w:tcW w:type="dxa" w:w="4600"/>
            <w:shd w:fill="24445C"/>
            <w:tcMar>
              <w:top w:w="90" w:type="dxa"/>
              <w:start w:w="120" w:type="dxa"/>
              <w:bottom w:w="90" w:type="dxa"/>
              <w:end w:w="120" w:type="dxa"/>
            </w:tcMar>
            <w:vAlign w:val="center"/>
          </w:tcPr>
          <w:p>
            <w:pPr>
              <w:spacing w:after="0"/>
            </w:pPr>
            <w:r>
              <w:rPr>
                <w:rFonts w:ascii="Aptos" w:hAnsi="Aptos"/>
                <w:b/>
                <w:i w:val="0"/>
                <w:color w:val="FFFFFF"/>
                <w:sz w:val="18"/>
              </w:rPr>
              <w:t>What it may cover under applicable rules</w:t>
            </w:r>
          </w:p>
        </w:tc>
        <w:tc>
          <w:tcPr>
            <w:tcW w:type="dxa" w:w="3348"/>
            <w:shd w:fill="24445C"/>
            <w:tcMar>
              <w:top w:w="90" w:type="dxa"/>
              <w:start w:w="120" w:type="dxa"/>
              <w:bottom w:w="90" w:type="dxa"/>
              <w:end w:w="120" w:type="dxa"/>
            </w:tcMar>
            <w:vAlign w:val="center"/>
          </w:tcPr>
          <w:p>
            <w:pPr>
              <w:spacing w:after="0"/>
            </w:pPr>
            <w:r>
              <w:rPr>
                <w:rFonts w:ascii="Aptos" w:hAnsi="Aptos"/>
                <w:b/>
                <w:i w:val="0"/>
                <w:color w:val="FFFFFF"/>
                <w:sz w:val="18"/>
              </w:rPr>
              <w:t>Remember</w:t>
            </w:r>
          </w:p>
        </w:tc>
      </w:tr>
      <w:tr>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6"/>
              </w:rPr>
              <w:t>Section 80C</w:t>
            </w:r>
          </w:p>
        </w:tc>
        <w:tc>
          <w:tcPr>
            <w:tcW w:type="dxa" w:w="4600"/>
            <w:tcMar>
              <w:top w:w="90" w:type="dxa"/>
              <w:start w:w="120" w:type="dxa"/>
              <w:bottom w:w="90" w:type="dxa"/>
              <w:end w:w="120" w:type="dxa"/>
            </w:tcMar>
            <w:vAlign w:val="center"/>
          </w:tcPr>
          <w:p>
            <w:pPr>
              <w:spacing w:after="0" w:line="252" w:lineRule="auto"/>
            </w:pPr>
            <w:r>
              <w:rPr>
                <w:rFonts w:ascii="Aptos" w:hAnsi="Aptos"/>
                <w:b w:val="0"/>
                <w:i w:val="0"/>
                <w:color w:val="24323D"/>
                <w:sz w:val="16"/>
              </w:rPr>
              <w:t>Specified items such as eligible provident-fund contributions, PPF, life-insurance premium, NSC, tuition fees and qualifying principal repayment</w:t>
            </w:r>
          </w:p>
        </w:tc>
        <w:tc>
          <w:tcPr>
            <w:tcW w:type="dxa" w:w="3348"/>
            <w:tcMar>
              <w:top w:w="90" w:type="dxa"/>
              <w:start w:w="120" w:type="dxa"/>
              <w:bottom w:w="90" w:type="dxa"/>
              <w:end w:w="120" w:type="dxa"/>
            </w:tcMar>
            <w:vAlign w:val="center"/>
          </w:tcPr>
          <w:p>
            <w:pPr>
              <w:spacing w:after="0" w:line="252" w:lineRule="auto"/>
            </w:pPr>
            <w:r>
              <w:rPr>
                <w:rFonts w:ascii="Aptos" w:hAnsi="Aptos"/>
                <w:b w:val="0"/>
                <w:i w:val="0"/>
                <w:color w:val="24323D"/>
                <w:sz w:val="16"/>
              </w:rPr>
              <w:t>Overall limit and conditions apply; generally not available in the default new regime.</w:t>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Section 80D</w:t>
            </w:r>
          </w:p>
        </w:tc>
        <w:tc>
          <w:tcPr>
            <w:tcW w:type="dxa" w:w="4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Eligible health-insurance premium and specified preventive-health-check-up / medical expenditure rules</w:t>
            </w:r>
          </w:p>
        </w:tc>
        <w:tc>
          <w:tcPr>
            <w:tcW w:type="dxa" w:w="3348"/>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Limits vary by age and situation; payment-mode conditions apply.</w:t>
            </w:r>
          </w:p>
        </w:tc>
      </w:tr>
      <w:tr>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6"/>
              </w:rPr>
              <w:t>NPS deductions</w:t>
            </w:r>
          </w:p>
        </w:tc>
        <w:tc>
          <w:tcPr>
            <w:tcW w:type="dxa" w:w="4600"/>
            <w:tcMar>
              <w:top w:w="90" w:type="dxa"/>
              <w:start w:w="120" w:type="dxa"/>
              <w:bottom w:w="90" w:type="dxa"/>
              <w:end w:w="120" w:type="dxa"/>
            </w:tcMar>
            <w:vAlign w:val="center"/>
          </w:tcPr>
          <w:p>
            <w:pPr>
              <w:spacing w:after="0" w:line="252" w:lineRule="auto"/>
            </w:pPr>
            <w:r>
              <w:rPr>
                <w:rFonts w:ascii="Aptos" w:hAnsi="Aptos"/>
                <w:b w:val="0"/>
                <w:i w:val="0"/>
                <w:color w:val="24323D"/>
                <w:sz w:val="16"/>
              </w:rPr>
              <w:t>Eligible personal or employer contributions under specified provisions</w:t>
            </w:r>
          </w:p>
        </w:tc>
        <w:tc>
          <w:tcPr>
            <w:tcW w:type="dxa" w:w="3348"/>
            <w:tcMar>
              <w:top w:w="90" w:type="dxa"/>
              <w:start w:w="120" w:type="dxa"/>
              <w:bottom w:w="90" w:type="dxa"/>
              <w:end w:w="120" w:type="dxa"/>
            </w:tcMar>
            <w:vAlign w:val="center"/>
          </w:tcPr>
          <w:p>
            <w:pPr>
              <w:spacing w:after="0" w:line="252" w:lineRule="auto"/>
            </w:pPr>
            <w:r>
              <w:rPr>
                <w:rFonts w:ascii="Aptos" w:hAnsi="Aptos"/>
                <w:b w:val="0"/>
                <w:i w:val="0"/>
                <w:color w:val="24323D"/>
                <w:sz w:val="16"/>
              </w:rPr>
              <w:t>Availability and limits differ by regime and contribution type.</w:t>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Home-loan interest</w:t>
            </w:r>
          </w:p>
        </w:tc>
        <w:tc>
          <w:tcPr>
            <w:tcW w:type="dxa" w:w="4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Treatment depends on self-occupied/let-out property and regime</w:t>
            </w:r>
          </w:p>
        </w:tc>
        <w:tc>
          <w:tcPr>
            <w:tcW w:type="dxa" w:w="3348"/>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Do not combine principal and interest rules.</w:t>
            </w:r>
          </w:p>
        </w:tc>
      </w:tr>
      <w:tr>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6"/>
              </w:rPr>
              <w:t>Donations</w:t>
            </w:r>
          </w:p>
        </w:tc>
        <w:tc>
          <w:tcPr>
            <w:tcW w:type="dxa" w:w="4600"/>
            <w:tcMar>
              <w:top w:w="90" w:type="dxa"/>
              <w:start w:w="120" w:type="dxa"/>
              <w:bottom w:w="90" w:type="dxa"/>
              <w:end w:w="120" w:type="dxa"/>
            </w:tcMar>
            <w:vAlign w:val="center"/>
          </w:tcPr>
          <w:p>
            <w:pPr>
              <w:spacing w:after="0" w:line="252" w:lineRule="auto"/>
            </w:pPr>
            <w:r>
              <w:rPr>
                <w:rFonts w:ascii="Aptos" w:hAnsi="Aptos"/>
                <w:b w:val="0"/>
                <w:i w:val="0"/>
                <w:color w:val="24323D"/>
                <w:sz w:val="16"/>
              </w:rPr>
              <w:t>Only eligible institutions and payment conditions qualify</w:t>
            </w:r>
          </w:p>
        </w:tc>
        <w:tc>
          <w:tcPr>
            <w:tcW w:type="dxa" w:w="3348"/>
            <w:tcMar>
              <w:top w:w="90" w:type="dxa"/>
              <w:start w:w="120" w:type="dxa"/>
              <w:bottom w:w="90" w:type="dxa"/>
              <w:end w:w="120" w:type="dxa"/>
            </w:tcMar>
            <w:vAlign w:val="center"/>
          </w:tcPr>
          <w:p>
            <w:pPr>
              <w:spacing w:after="0" w:line="252" w:lineRule="auto"/>
            </w:pPr>
            <w:r>
              <w:rPr>
                <w:rFonts w:ascii="Aptos" w:hAnsi="Aptos"/>
                <w:b w:val="0"/>
                <w:i w:val="0"/>
                <w:color w:val="24323D"/>
                <w:sz w:val="16"/>
              </w:rPr>
              <w:t>Keep the required receipt and donation details.</w:t>
            </w:r>
          </w:p>
        </w:tc>
      </w:tr>
    </w:tbl>
    <w:p>
      <w:pPr>
        <w:widowControl/>
        <w:spacing w:after="20"/>
      </w:pPr>
    </w:p>
    <w:p>
      <w:pPr>
        <w:pStyle w:val="Heading1"/>
        <w:keepNext/>
        <w:widowControl/>
      </w:pPr>
      <w:r>
        <w:t>A freelancer or home-business owner needs a system</w:t>
      </w:r>
    </w:p>
    <w:p>
      <w:pPr>
        <w:widowControl/>
      </w:pPr>
      <w:r>
        <w:rPr>
          <w:rFonts w:ascii="Aptos" w:hAnsi="Aptos"/>
          <w:b w:val="0"/>
          <w:i w:val="0"/>
          <w:color w:val="24323D"/>
          <w:sz w:val="21"/>
        </w:rPr>
        <w:t>Separate business and personal money as far as practical. Issue invoices, record receipts, preserve expense proofs, reconcile bank entries and set aside money for tax. Depending on income and activity, advance tax, GST, tax audit, books of account or presumptive taxation may become relevant. These thresholds and conditions change; seek a chartered accountant when the activity is no longer occasional or simple.</w:t>
      </w:r>
    </w:p>
    <w:tbl>
      <w:tblPr>
        <w:tblW w:type="auto" w:w="0"/>
        <w:jc w:val="center"/>
        <w:tblLayout w:type="fixed"/>
        <w:tblLook w:firstColumn="1" w:firstRow="1" w:lastColumn="0" w:lastRow="0" w:noHBand="0" w:noVBand="1" w:val="04A0"/>
      </w:tblPr>
      <w:tblGrid>
        <w:gridCol w:w="9648"/>
      </w:tblGrid>
      <w:tr>
        <w:tc>
          <w:tcPr>
            <w:tcW w:type="dxa" w:w="9400"/>
            <w:shd w:fill="EAF3F2"/>
            <w:tcMar>
              <w:top w:w="150" w:type="dxa"/>
              <w:start w:w="180" w:type="dxa"/>
              <w:bottom w:w="150" w:type="dxa"/>
              <w:end w:w="180" w:type="dxa"/>
            </w:tcMar>
          </w:tcPr>
          <w:p>
            <w:pPr>
              <w:spacing w:after="80"/>
            </w:pPr>
            <w:r>
              <w:rPr>
                <w:rFonts w:ascii="Aptos" w:hAnsi="Aptos"/>
                <w:b/>
                <w:i w:val="0"/>
                <w:color w:val="3E8C84"/>
                <w:sz w:val="18"/>
              </w:rPr>
              <w:t>REAL-LIFE EXAMPLE</w:t>
            </w:r>
          </w:p>
          <w:p>
            <w:pPr>
              <w:spacing w:after="0"/>
            </w:pPr>
            <w:r>
              <w:rPr>
                <w:rFonts w:ascii="Aptos" w:hAnsi="Aptos"/>
                <w:b w:val="0"/>
                <w:i w:val="0"/>
                <w:color w:val="24323D"/>
                <w:sz w:val="20"/>
              </w:rPr>
              <w:t>A home baker receives ₹80,000 in customer payments. That is revenue, not automatically profit. Eligible business expenses must be supported and classified correctly. Personal groceries do not become business expenses simply because both were bought at the same shop.</w:t>
            </w:r>
          </w:p>
        </w:tc>
      </w:tr>
    </w:tbl>
    <w:p>
      <w:pPr>
        <w:widowControl/>
        <w:spacing w:after="20"/>
      </w:pPr>
    </w:p>
    <w:p>
      <w:pPr>
        <w:pStyle w:val="Heading1"/>
        <w:keepNext/>
        <w:widowControl/>
      </w:pPr>
      <w:r>
        <w:t>Capital gains: selling creates the tax event</w:t>
      </w:r>
    </w:p>
    <w:p>
      <w:pPr>
        <w:widowControl/>
      </w:pPr>
      <w:r>
        <w:rPr>
          <w:rFonts w:ascii="Aptos" w:hAnsi="Aptos"/>
          <w:b w:val="0"/>
          <w:i w:val="0"/>
          <w:color w:val="24323D"/>
          <w:sz w:val="21"/>
        </w:rPr>
        <w:t>When you sell shares, mutual funds, gold or property, tax may depend on the asset, purchase and sale dates, holding period, sale value, cost and special rules. A gain shown in an app may not equal the taxable gain. Keep contract notes and capital-gains statements, and seek help for property, foreign assets, complex trades or significant gains.</w:t>
      </w:r>
    </w:p>
    <w:p>
      <w:pPr>
        <w:pStyle w:val="Heading1"/>
        <w:keepNext/>
        <w:widowControl/>
      </w:pPr>
      <w:r>
        <w:t>Which return form?</w:t>
      </w:r>
    </w:p>
    <w:p>
      <w:pPr>
        <w:widowControl/>
      </w:pPr>
      <w:r>
        <w:rPr>
          <w:rFonts w:ascii="Aptos" w:hAnsi="Aptos"/>
          <w:b w:val="0"/>
          <w:i w:val="0"/>
          <w:color w:val="24323D"/>
          <w:sz w:val="21"/>
        </w:rPr>
        <w:t>ITR-1 may suit many resident individuals with simple income within its eligibility conditions. ITR-2 is commonly relevant where there are capital gains but no business or professional income. ITR-3 covers business or professional income in many cases; ITR-4 may be available for eligible presumptive-income cases subject to conditions. Do not choose a form only because it looks shorter.</w:t>
      </w:r>
    </w:p>
    <w:tbl>
      <w:tblPr>
        <w:tblW w:type="auto" w:w="0"/>
        <w:jc w:val="center"/>
        <w:tblLayout w:type="fixed"/>
        <w:tblLook w:firstColumn="1" w:firstRow="1" w:lastColumn="0" w:lastRow="0" w:noHBand="0" w:noVBand="1" w:val="04A0"/>
      </w:tblPr>
      <w:tblGrid>
        <w:gridCol w:w="9648"/>
      </w:tblGrid>
      <w:tr>
        <w:tc>
          <w:tcPr>
            <w:tcW w:type="dxa" w:w="9400"/>
            <w:shd w:fill="F9ECEB"/>
            <w:tcMar>
              <w:top w:w="150" w:type="dxa"/>
              <w:start w:w="180" w:type="dxa"/>
              <w:bottom w:w="150" w:type="dxa"/>
              <w:end w:w="180" w:type="dxa"/>
            </w:tcMar>
          </w:tcPr>
          <w:p>
            <w:pPr>
              <w:spacing w:after="80"/>
            </w:pPr>
            <w:r>
              <w:rPr>
                <w:rFonts w:ascii="Aptos" w:hAnsi="Aptos"/>
                <w:b/>
                <w:i w:val="0"/>
                <w:color w:val="9B3A35"/>
                <w:sz w:val="18"/>
              </w:rPr>
              <w:t>WHEN PROFESSIONAL HELP IS SENSIBLE</w:t>
            </w:r>
          </w:p>
          <w:p>
            <w:pPr>
              <w:spacing w:after="0"/>
            </w:pPr>
            <w:r>
              <w:rPr>
                <w:rFonts w:ascii="Aptos" w:hAnsi="Aptos"/>
                <w:b w:val="0"/>
                <w:i w:val="0"/>
                <w:color w:val="24323D"/>
                <w:sz w:val="20"/>
              </w:rPr>
              <w:t>Business or professional income; property sale; foreign income or assets; unlisted shares; crypto or virtual digital assets; ESOPs; multiple properties; large or unusual capital gains; notices; losses to carry forward; inheritance questions; or uncertainty about the tax regime.</w:t>
            </w:r>
          </w:p>
        </w:tc>
      </w:tr>
    </w:tbl>
    <w:p>
      <w:pPr>
        <w:widowControl/>
        <w:spacing w:after="20"/>
      </w:pPr>
    </w:p>
    <w:p>
      <w:pPr>
        <w:pStyle w:val="Heading1"/>
        <w:keepNext/>
        <w:widowControl/>
      </w:pPr>
      <w:r>
        <w:t>Your filing calendar</w:t>
      </w:r>
    </w:p>
    <w:p>
      <w:pPr>
        <w:pStyle w:val="ListBullet"/>
        <w:widowControl/>
        <w:spacing w:after="60"/>
        <w:ind w:left="504" w:hanging="259"/>
      </w:pPr>
      <w:r>
        <w:rPr>
          <w:rFonts w:ascii="Aptos" w:hAnsi="Aptos"/>
          <w:b w:val="0"/>
          <w:i w:val="0"/>
          <w:color w:val="24323D"/>
          <w:sz w:val="20"/>
        </w:rPr>
        <w:t>Every month: save invoices, investment statements and major receipts in one folder.</w:t>
      </w:r>
    </w:p>
    <w:p>
      <w:pPr>
        <w:pStyle w:val="ListBullet"/>
        <w:widowControl/>
        <w:spacing w:after="60"/>
        <w:ind w:left="504" w:hanging="259"/>
      </w:pPr>
      <w:r>
        <w:rPr>
          <w:rFonts w:ascii="Aptos" w:hAnsi="Aptos"/>
          <w:b w:val="0"/>
          <w:i w:val="0"/>
          <w:color w:val="24323D"/>
          <w:sz w:val="20"/>
        </w:rPr>
        <w:t>Every quarter: compare bank entries, TDS and income records; consider advance-tax obligations if relevant.</w:t>
      </w:r>
    </w:p>
    <w:p>
      <w:pPr>
        <w:pStyle w:val="ListBullet"/>
        <w:widowControl/>
        <w:spacing w:after="60"/>
        <w:ind w:left="504" w:hanging="259"/>
      </w:pPr>
      <w:r>
        <w:rPr>
          <w:rFonts w:ascii="Aptos" w:hAnsi="Aptos"/>
          <w:b w:val="0"/>
          <w:i w:val="0"/>
          <w:color w:val="24323D"/>
          <w:sz w:val="20"/>
        </w:rPr>
        <w:t>After year-end: collect Form 16/16A, interest certificates, capital-gains statements and deduction proofs.</w:t>
      </w:r>
    </w:p>
    <w:p>
      <w:pPr>
        <w:pStyle w:val="ListBullet"/>
        <w:widowControl/>
        <w:spacing w:after="60"/>
        <w:ind w:left="504" w:hanging="259"/>
      </w:pPr>
      <w:r>
        <w:rPr>
          <w:rFonts w:ascii="Aptos" w:hAnsi="Aptos"/>
          <w:b w:val="0"/>
          <w:i w:val="0"/>
          <w:color w:val="24323D"/>
          <w:sz w:val="20"/>
        </w:rPr>
        <w:t>Before filing: reconcile Form 26AS and AIS/TIS with your records; select the correct form and regime.</w:t>
      </w:r>
    </w:p>
    <w:p>
      <w:pPr>
        <w:pStyle w:val="ListBullet"/>
        <w:widowControl/>
        <w:spacing w:after="60"/>
        <w:ind w:left="504" w:hanging="259"/>
      </w:pPr>
      <w:r>
        <w:rPr>
          <w:rFonts w:ascii="Aptos" w:hAnsi="Aptos"/>
          <w:b w:val="0"/>
          <w:i w:val="0"/>
          <w:color w:val="24323D"/>
          <w:sz w:val="20"/>
        </w:rPr>
        <w:t>After filing: e-verify within the permitted time, save the acknowledgement and respond to notices only through verified channels.</w:t>
      </w:r>
    </w:p>
    <w:p>
      <w:pPr>
        <w:pStyle w:val="Heading1"/>
        <w:keepNext/>
        <w:widowControl/>
      </w:pPr>
      <w:r>
        <w:t>Common mistakes</w:t>
      </w:r>
    </w:p>
    <w:p>
      <w:pPr>
        <w:pStyle w:val="ListBullet"/>
        <w:widowControl/>
        <w:spacing w:after="60"/>
        <w:ind w:left="504" w:hanging="259"/>
      </w:pPr>
      <w:r>
        <w:rPr>
          <w:rFonts w:ascii="Aptos" w:hAnsi="Aptos"/>
          <w:b w:val="0"/>
          <w:i w:val="0"/>
          <w:color w:val="24323D"/>
          <w:sz w:val="20"/>
        </w:rPr>
        <w:t>Assuming no salary means no tax return or no taxable income.</w:t>
      </w:r>
    </w:p>
    <w:p>
      <w:pPr>
        <w:pStyle w:val="ListBullet"/>
        <w:widowControl/>
        <w:spacing w:after="60"/>
        <w:ind w:left="504" w:hanging="259"/>
      </w:pPr>
      <w:r>
        <w:rPr>
          <w:rFonts w:ascii="Aptos" w:hAnsi="Aptos"/>
          <w:b w:val="0"/>
          <w:i w:val="0"/>
          <w:color w:val="24323D"/>
          <w:sz w:val="20"/>
        </w:rPr>
        <w:t>Ignoring bank interest, rent, freelance receipts or investment sales.</w:t>
      </w:r>
    </w:p>
    <w:p>
      <w:pPr>
        <w:pStyle w:val="ListBullet"/>
        <w:widowControl/>
        <w:spacing w:after="60"/>
        <w:ind w:left="504" w:hanging="259"/>
      </w:pPr>
      <w:r>
        <w:rPr>
          <w:rFonts w:ascii="Aptos" w:hAnsi="Aptos"/>
          <w:b w:val="0"/>
          <w:i w:val="0"/>
          <w:color w:val="24323D"/>
          <w:sz w:val="20"/>
        </w:rPr>
        <w:t>Treating TDS as proof that nothing more is due.</w:t>
      </w:r>
    </w:p>
    <w:p>
      <w:pPr>
        <w:pStyle w:val="ListBullet"/>
        <w:widowControl/>
        <w:spacing w:after="60"/>
        <w:ind w:left="504" w:hanging="259"/>
      </w:pPr>
      <w:r>
        <w:rPr>
          <w:rFonts w:ascii="Aptos" w:hAnsi="Aptos"/>
          <w:b w:val="0"/>
          <w:i w:val="0"/>
          <w:color w:val="24323D"/>
          <w:sz w:val="20"/>
        </w:rPr>
        <w:t>Choosing a regime without calculating both options.</w:t>
      </w:r>
    </w:p>
    <w:p>
      <w:pPr>
        <w:pStyle w:val="ListBullet"/>
        <w:widowControl/>
        <w:spacing w:after="60"/>
        <w:ind w:left="504" w:hanging="259"/>
      </w:pPr>
      <w:r>
        <w:rPr>
          <w:rFonts w:ascii="Aptos" w:hAnsi="Aptos"/>
          <w:b w:val="0"/>
          <w:i w:val="0"/>
          <w:color w:val="24323D"/>
          <w:sz w:val="20"/>
        </w:rPr>
        <w:t>Buying an investment only because 31 March is near.</w:t>
      </w:r>
    </w:p>
    <w:p>
      <w:pPr>
        <w:pStyle w:val="ListBullet"/>
        <w:widowControl/>
        <w:spacing w:after="60"/>
        <w:ind w:left="504" w:hanging="259"/>
      </w:pPr>
      <w:r>
        <w:rPr>
          <w:rFonts w:ascii="Aptos" w:hAnsi="Aptos"/>
          <w:b w:val="0"/>
          <w:i w:val="0"/>
          <w:color w:val="24323D"/>
          <w:sz w:val="20"/>
        </w:rPr>
        <w:t>Failing to e-verify the filed return.</w:t>
      </w:r>
    </w:p>
    <w:p>
      <w:pPr>
        <w:pStyle w:val="ListBullet"/>
        <w:widowControl/>
        <w:spacing w:after="60"/>
        <w:ind w:left="504" w:hanging="259"/>
      </w:pPr>
      <w:r>
        <w:rPr>
          <w:rFonts w:ascii="Aptos" w:hAnsi="Aptos"/>
          <w:b w:val="0"/>
          <w:i w:val="0"/>
          <w:color w:val="24323D"/>
          <w:sz w:val="20"/>
        </w:rPr>
        <w:t>Using an incorrect ITR form or missing foreign-asset disclosures.</w:t>
      </w:r>
    </w:p>
    <w:p>
      <w:pPr>
        <w:pStyle w:val="ListBullet"/>
        <w:widowControl/>
        <w:spacing w:after="60"/>
        <w:ind w:left="504" w:hanging="259"/>
      </w:pPr>
      <w:r>
        <w:rPr>
          <w:rFonts w:ascii="Aptos" w:hAnsi="Aptos"/>
          <w:b w:val="0"/>
          <w:i w:val="0"/>
          <w:color w:val="24323D"/>
          <w:sz w:val="20"/>
        </w:rPr>
        <w:t>Sharing portal passwords or OTPs with an unverified “refund agent.”</w:t>
      </w:r>
    </w:p>
    <w:tbl>
      <w:tblPr>
        <w:tblW w:type="auto" w:w="0"/>
        <w:jc w:val="center"/>
        <w:tblLayout w:type="fixed"/>
        <w:tblLook w:firstColumn="1" w:firstRow="1" w:lastColumn="0" w:lastRow="0" w:noHBand="0" w:noVBand="1" w:val="04A0"/>
      </w:tblPr>
      <w:tblGrid>
        <w:gridCol w:w="9648"/>
      </w:tblGrid>
      <w:tr>
        <w:tc>
          <w:tcPr>
            <w:tcW w:type="dxa" w:w="9400"/>
            <w:shd w:fill="F9ECEB"/>
            <w:tcMar>
              <w:top w:w="150" w:type="dxa"/>
              <w:start w:w="180" w:type="dxa"/>
              <w:bottom w:w="150" w:type="dxa"/>
              <w:end w:w="180" w:type="dxa"/>
            </w:tcMar>
          </w:tcPr>
          <w:p>
            <w:pPr>
              <w:spacing w:after="80"/>
            </w:pPr>
            <w:r>
              <w:rPr>
                <w:rFonts w:ascii="Aptos" w:hAnsi="Aptos"/>
                <w:b/>
                <w:i w:val="0"/>
                <w:color w:val="9B3A35"/>
                <w:sz w:val="18"/>
              </w:rPr>
              <w:t>RED FLAGS</w:t>
            </w:r>
          </w:p>
          <w:p>
            <w:pPr>
              <w:spacing w:after="0"/>
            </w:pPr>
            <w:r>
              <w:rPr>
                <w:rFonts w:ascii="Aptos" w:hAnsi="Aptos"/>
                <w:b w:val="0"/>
                <w:i w:val="0"/>
                <w:color w:val="24323D"/>
                <w:sz w:val="20"/>
              </w:rPr>
              <w:t>Messages promising an instant refund; links that imitate the tax portal; requests to pay tax into a personal UPI ID; threats demanding immediate action outside the official portal; or anyone asking for your password, OTP, card PIN or remote access to your phone.</w:t>
            </w:r>
          </w:p>
        </w:tc>
      </w:tr>
    </w:tbl>
    <w:p>
      <w:pPr>
        <w:widowControl/>
        <w:spacing w:after="20"/>
      </w:pPr>
    </w:p>
    <w:p>
      <w:pPr>
        <w:pStyle w:val="Heading1"/>
        <w:keepNext/>
        <w:widowControl/>
      </w:pPr>
      <w:r>
        <w:t>A calm tax checklist</w:t>
      </w:r>
    </w:p>
    <w:p>
      <w:pPr>
        <w:pStyle w:val="ListBullet"/>
        <w:widowControl/>
        <w:spacing w:after="60"/>
        <w:ind w:left="504" w:hanging="259"/>
      </w:pPr>
      <w:r>
        <w:rPr>
          <w:rFonts w:ascii="Aptos" w:hAnsi="Aptos"/>
          <w:b w:val="0"/>
          <w:i w:val="0"/>
          <w:color w:val="24323D"/>
          <w:sz w:val="20"/>
        </w:rPr>
        <w:t>My PAN, Aadhaar and bank details are accurate and linked where required.</w:t>
      </w:r>
    </w:p>
    <w:p>
      <w:pPr>
        <w:pStyle w:val="ListBullet"/>
        <w:widowControl/>
        <w:spacing w:after="60"/>
        <w:ind w:left="504" w:hanging="259"/>
      </w:pPr>
      <w:r>
        <w:rPr>
          <w:rFonts w:ascii="Aptos" w:hAnsi="Aptos"/>
          <w:b w:val="0"/>
          <w:i w:val="0"/>
          <w:color w:val="24323D"/>
          <w:sz w:val="20"/>
        </w:rPr>
        <w:t>I listed every source of income, including interest and freelance receipts.</w:t>
      </w:r>
    </w:p>
    <w:p>
      <w:pPr>
        <w:pStyle w:val="ListBullet"/>
        <w:widowControl/>
        <w:spacing w:after="60"/>
        <w:ind w:left="504" w:hanging="259"/>
      </w:pPr>
      <w:r>
        <w:rPr>
          <w:rFonts w:ascii="Aptos" w:hAnsi="Aptos"/>
          <w:b w:val="0"/>
          <w:i w:val="0"/>
          <w:color w:val="24323D"/>
          <w:sz w:val="20"/>
        </w:rPr>
        <w:t>I compared Form 26AS and AIS/TIS with my records.</w:t>
      </w:r>
    </w:p>
    <w:p>
      <w:pPr>
        <w:pStyle w:val="ListBullet"/>
        <w:widowControl/>
        <w:spacing w:after="60"/>
        <w:ind w:left="504" w:hanging="259"/>
      </w:pPr>
      <w:r>
        <w:rPr>
          <w:rFonts w:ascii="Aptos" w:hAnsi="Aptos"/>
          <w:b w:val="0"/>
          <w:i w:val="0"/>
          <w:color w:val="24323D"/>
          <w:sz w:val="20"/>
        </w:rPr>
        <w:t>I calculated both regimes where I was eligible to choose.</w:t>
      </w:r>
    </w:p>
    <w:p>
      <w:pPr>
        <w:pStyle w:val="ListBullet"/>
        <w:widowControl/>
        <w:spacing w:after="60"/>
        <w:ind w:left="504" w:hanging="259"/>
      </w:pPr>
      <w:r>
        <w:rPr>
          <w:rFonts w:ascii="Aptos" w:hAnsi="Aptos"/>
          <w:b w:val="0"/>
          <w:i w:val="0"/>
          <w:color w:val="24323D"/>
          <w:sz w:val="20"/>
        </w:rPr>
        <w:t>I checked whether special-rate income changes the rebate result.</w:t>
      </w:r>
    </w:p>
    <w:p>
      <w:pPr>
        <w:pStyle w:val="ListBullet"/>
        <w:widowControl/>
        <w:spacing w:after="60"/>
        <w:ind w:left="504" w:hanging="259"/>
      </w:pPr>
      <w:r>
        <w:rPr>
          <w:rFonts w:ascii="Aptos" w:hAnsi="Aptos"/>
          <w:b w:val="0"/>
          <w:i w:val="0"/>
          <w:color w:val="24323D"/>
          <w:sz w:val="20"/>
        </w:rPr>
        <w:t>I selected the correct ITR form.</w:t>
      </w:r>
    </w:p>
    <w:p>
      <w:pPr>
        <w:pStyle w:val="ListBullet"/>
        <w:widowControl/>
        <w:spacing w:after="60"/>
        <w:ind w:left="504" w:hanging="259"/>
      </w:pPr>
      <w:r>
        <w:rPr>
          <w:rFonts w:ascii="Aptos" w:hAnsi="Aptos"/>
          <w:b w:val="0"/>
          <w:i w:val="0"/>
          <w:color w:val="24323D"/>
          <w:sz w:val="20"/>
        </w:rPr>
        <w:t>I paid any balance tax through the official channel.</w:t>
      </w:r>
    </w:p>
    <w:p>
      <w:pPr>
        <w:pStyle w:val="ListBullet"/>
        <w:widowControl/>
        <w:spacing w:after="60"/>
        <w:ind w:left="504" w:hanging="259"/>
      </w:pPr>
      <w:r>
        <w:rPr>
          <w:rFonts w:ascii="Aptos" w:hAnsi="Aptos"/>
          <w:b w:val="0"/>
          <w:i w:val="0"/>
          <w:color w:val="24323D"/>
          <w:sz w:val="20"/>
        </w:rPr>
        <w:t>I e-verified and saved the acknowledgement.</w:t>
      </w:r>
    </w:p>
    <w:p>
      <w:pPr>
        <w:pStyle w:val="ListBullet"/>
        <w:widowControl/>
        <w:spacing w:after="60"/>
        <w:ind w:left="504" w:hanging="259"/>
      </w:pPr>
      <w:r>
        <w:rPr>
          <w:rFonts w:ascii="Aptos" w:hAnsi="Aptos"/>
          <w:b w:val="0"/>
          <w:i w:val="0"/>
          <w:color w:val="24323D"/>
          <w:sz w:val="20"/>
        </w:rPr>
        <w:t>I know which documents to retain.</w:t>
      </w:r>
    </w:p>
    <w:tbl>
      <w:tblPr>
        <w:tblW w:type="auto" w:w="0"/>
        <w:jc w:val="center"/>
        <w:tblLayout w:type="fixed"/>
        <w:tblLook w:firstColumn="1" w:firstRow="1" w:lastColumn="0" w:lastRow="0" w:noHBand="0" w:noVBand="1" w:val="04A0"/>
      </w:tblPr>
      <w:tblGrid>
        <w:gridCol w:w="9648"/>
      </w:tblGrid>
      <w:tr>
        <w:tc>
          <w:tcPr>
            <w:tcW w:type="dxa" w:w="9400"/>
            <w:shd w:fill="EAF3F2"/>
            <w:tcMar>
              <w:top w:w="150" w:type="dxa"/>
              <w:start w:w="180" w:type="dxa"/>
              <w:bottom w:w="150" w:type="dxa"/>
              <w:end w:w="180" w:type="dxa"/>
            </w:tcMar>
          </w:tcPr>
          <w:p>
            <w:pPr>
              <w:spacing w:after="80"/>
            </w:pPr>
            <w:r>
              <w:rPr>
                <w:rFonts w:ascii="Aptos" w:hAnsi="Aptos"/>
                <w:b/>
                <w:i w:val="0"/>
                <w:color w:val="3E8C84"/>
                <w:sz w:val="18"/>
              </w:rPr>
              <w:t>REMEMBER THIS</w:t>
            </w:r>
          </w:p>
          <w:p>
            <w:pPr>
              <w:spacing w:after="0"/>
            </w:pPr>
            <w:r>
              <w:rPr>
                <w:rFonts w:ascii="Aptos" w:hAnsi="Aptos"/>
                <w:b w:val="0"/>
                <w:i w:val="0"/>
                <w:color w:val="24323D"/>
                <w:sz w:val="20"/>
              </w:rPr>
              <w:t>Tax confidence is not memorising every section. It is knowing your income, keeping evidence, reconciling tax credits, choosing deliberately, filing correctly and asking for help before a small uncertainty becomes an expensive problem.</w:t>
            </w:r>
          </w:p>
        </w:tc>
      </w:tr>
    </w:tbl>
    <w:p>
      <w:pPr>
        <w:widowControl/>
        <w:spacing w:after="20"/>
      </w:pPr>
    </w:p>
    <w:tbl>
      <w:tblPr>
        <w:tblW w:type="auto" w:w="0"/>
        <w:jc w:val="center"/>
        <w:tblLayout w:type="fixed"/>
        <w:tblLook w:firstColumn="1" w:firstRow="1" w:lastColumn="0" w:lastRow="0" w:noHBand="0" w:noVBand="1" w:val="04A0"/>
      </w:tblPr>
      <w:tblGrid>
        <w:gridCol w:w="9648"/>
      </w:tblGrid>
      <w:tr>
        <w:tc>
          <w:tcPr>
            <w:tcW w:type="dxa" w:w="9400"/>
            <w:shd w:fill="EAF3F2"/>
            <w:tcMar>
              <w:top w:w="150" w:type="dxa"/>
              <w:start w:w="180" w:type="dxa"/>
              <w:bottom w:w="150" w:type="dxa"/>
              <w:end w:w="180" w:type="dxa"/>
            </w:tcMar>
          </w:tcPr>
          <w:p>
            <w:pPr>
              <w:spacing w:after="80"/>
            </w:pPr>
            <w:r>
              <w:rPr>
                <w:rFonts w:ascii="Aptos" w:hAnsi="Aptos"/>
                <w:b/>
                <w:i w:val="0"/>
                <w:color w:val="3E8C84"/>
                <w:sz w:val="18"/>
              </w:rPr>
              <w:t>TRY THIS TODAY</w:t>
            </w:r>
          </w:p>
          <w:p>
            <w:pPr>
              <w:spacing w:after="0"/>
            </w:pPr>
            <w:r>
              <w:rPr>
                <w:rFonts w:ascii="Aptos" w:hAnsi="Aptos"/>
                <w:b w:val="0"/>
                <w:i w:val="0"/>
                <w:color w:val="24323D"/>
                <w:sz w:val="20"/>
              </w:rPr>
              <w:t>Create one folder named “Tax Year.” Add five subfolders: Income, Expenses, Investments, Tax Paid, and Returns. Download your latest Form 26AS and AIS from the official portal and compare the first page with your own records. Do not rush to correct anything until you understand the difference.</w:t>
            </w:r>
          </w:p>
        </w:tc>
      </w:tr>
    </w:tbl>
    <w:p>
      <w:pPr>
        <w:widowControl/>
        <w:spacing w:after="20"/>
      </w:pPr>
    </w:p>
    <w:p>
      <w:pPr>
        <w:widowControl/>
      </w:pPr>
      <w:r>
        <w:br w:type="page"/>
      </w:r>
    </w:p>
    <w:p>
      <w:pPr>
        <w:pStyle w:val="MVKicker"/>
        <w:widowControl/>
      </w:pPr>
      <w:r>
        <w:rPr>
          <w:rFonts w:ascii="Aptos" w:hAnsi="Aptos"/>
          <w:b w:val="0"/>
          <w:i w:val="0"/>
          <w:color w:val="24323D"/>
          <w:sz w:val="21"/>
        </w:rPr>
        <w:t>CHAPTER 19</w:t>
      </w:r>
    </w:p>
    <w:p>
      <w:pPr>
        <w:pStyle w:val="Title"/>
      </w:pPr>
      <w:r>
        <w:t>Staying Safe from Frauds and Scams</w:t>
      </w:r>
    </w:p>
    <w:p>
      <w:pPr>
        <w:pStyle w:val="MVQuote"/>
        <w:widowControl/>
      </w:pPr>
      <w:r>
        <w:rPr>
          <w:rFonts w:ascii="Aptos" w:hAnsi="Aptos"/>
          <w:b w:val="0"/>
          <w:i/>
          <w:color w:val="24323D"/>
          <w:sz w:val="21"/>
        </w:rPr>
        <w:t>“A genuine opportunity can survive a pause. A scam usually cannot.”</w:t>
      </w:r>
    </w:p>
    <w:p>
      <w:pPr>
        <w:widowControl/>
      </w:pPr>
      <w:r>
        <w:rPr>
          <w:rFonts w:ascii="Aptos" w:hAnsi="Aptos"/>
          <w:b w:val="0"/>
          <w:i w:val="0"/>
          <w:color w:val="24323D"/>
          <w:sz w:val="21"/>
        </w:rPr>
        <w:t>Nisha was settling her baby when a caller said her bank account would be frozen within ten minutes. He knew her name and part of her card number. He sounded patient, official and helpful. All he needed, he said, was the OTP that had just arrived.</w:t>
      </w:r>
    </w:p>
    <w:p>
      <w:pPr>
        <w:widowControl/>
      </w:pPr>
      <w:r>
        <w:rPr>
          <w:rFonts w:ascii="Aptos" w:hAnsi="Aptos"/>
          <w:b w:val="0"/>
          <w:i w:val="0"/>
          <w:color w:val="24323D"/>
          <w:sz w:val="21"/>
        </w:rPr>
        <w:t>Her heart began racing. Then she remembered one rule: a bank does not need her secret code to protect her account. She ended the call, opened the bank’s official app and contacted the number shown there. The account was fine. The emergency had been invented to make her act before she could think.</w:t>
      </w:r>
    </w:p>
    <w:p>
      <w:pPr>
        <w:pStyle w:val="Heading1"/>
      </w:pPr>
      <w:r>
        <w:t>Scams do not begin with technology. They begin with pressure.</w:t>
      </w:r>
    </w:p>
    <w:p>
      <w:pPr>
        <w:widowControl/>
      </w:pPr>
      <w:r>
        <w:rPr>
          <w:rFonts w:ascii="Aptos" w:hAnsi="Aptos"/>
          <w:b w:val="0"/>
          <w:i w:val="0"/>
          <w:color w:val="24323D"/>
          <w:sz w:val="21"/>
        </w:rPr>
        <w:t>Fraudsters commonly create fear, urgency, greed, affection, authority or embarrassment. The message may mention KYC expiry, a parcel, a police case, a refund, a job, a prize, an investment or a relative in trouble. The story changes; the pressure pattern is remarkably consistent.</w:t>
      </w:r>
    </w:p>
    <w:tbl>
      <w:tblPr>
        <w:tblStyle w:val="TableGrid"/>
        <w:tblW w:type="dxa" w:w="9360"/>
        <w:jc w:val="center"/>
        <w:tblLayout w:type="fixed"/>
        <w:tblLook w:firstColumn="1" w:firstRow="1" w:lastColumn="0" w:lastRow="0" w:noHBand="0" w:noVBand="1" w:val="04A0"/>
        <w:tblInd w:w="120" w:type="dxa"/>
      </w:tblPr>
      <w:tblGrid>
        <w:gridCol w:w="1500"/>
        <w:gridCol w:w="3820"/>
        <w:gridCol w:w="4040"/>
      </w:tblGrid>
      <w:tr>
        <w:trPr>
          <w:tblHeader w:val="true"/>
        </w:trPr>
        <w:tc>
          <w:tcPr>
            <w:tcW w:type="dxa" w:w="1500"/>
            <w:tcMar>
              <w:top w:w="90" w:type="dxa"/>
              <w:start w:w="120" w:type="dxa"/>
              <w:bottom w:w="90" w:type="dxa"/>
              <w:end w:w="120" w:type="dxa"/>
            </w:tcMar>
            <w:shd w:fill="24445C"/>
            <w:vAlign w:val="center"/>
          </w:tcPr>
          <w:p>
            <w:pPr>
              <w:spacing w:after="0"/>
            </w:pPr>
            <w:r>
              <w:rPr>
                <w:rFonts w:ascii="Aptos" w:hAnsi="Aptos"/>
                <w:b/>
                <w:i w:val="0"/>
                <w:color w:val="FFFFFF"/>
                <w:sz w:val="18"/>
              </w:rPr>
              <w:t>Pressure tactic</w:t>
            </w:r>
          </w:p>
        </w:tc>
        <w:tc>
          <w:tcPr>
            <w:tcW w:type="dxa" w:w="3820"/>
            <w:tcMar>
              <w:top w:w="90" w:type="dxa"/>
              <w:start w:w="120" w:type="dxa"/>
              <w:bottom w:w="90" w:type="dxa"/>
              <w:end w:w="120" w:type="dxa"/>
            </w:tcMar>
            <w:shd w:fill="24445C"/>
            <w:vAlign w:val="center"/>
          </w:tcPr>
          <w:p>
            <w:pPr>
              <w:spacing w:after="0"/>
            </w:pPr>
            <w:r>
              <w:rPr>
                <w:rFonts w:ascii="Aptos" w:hAnsi="Aptos"/>
                <w:b/>
                <w:i w:val="0"/>
                <w:color w:val="FFFFFF"/>
                <w:sz w:val="18"/>
              </w:rPr>
              <w:t>What it may sound like</w:t>
            </w:r>
          </w:p>
        </w:tc>
        <w:tc>
          <w:tcPr>
            <w:tcW w:type="dxa" w:w="4040"/>
            <w:tcMar>
              <w:top w:w="90" w:type="dxa"/>
              <w:start w:w="120" w:type="dxa"/>
              <w:bottom w:w="90" w:type="dxa"/>
              <w:end w:w="120" w:type="dxa"/>
            </w:tcMar>
            <w:shd w:fill="24445C"/>
            <w:vAlign w:val="center"/>
          </w:tcPr>
          <w:p>
            <w:pPr>
              <w:spacing w:after="0"/>
            </w:pPr>
            <w:r>
              <w:rPr>
                <w:rFonts w:ascii="Aptos" w:hAnsi="Aptos"/>
                <w:b/>
                <w:i w:val="0"/>
                <w:color w:val="FFFFFF"/>
                <w:sz w:val="18"/>
              </w:rPr>
              <w:t>Your safest response</w:t>
            </w:r>
          </w:p>
        </w:tc>
      </w:tr>
      <w:tr>
        <w:tc>
          <w:tcPr>
            <w:tcW w:type="dxa" w:w="1500"/>
            <w:tcMar>
              <w:top w:w="90" w:type="dxa"/>
              <w:start w:w="120" w:type="dxa"/>
              <w:bottom w:w="90" w:type="dxa"/>
              <w:end w:w="120" w:type="dxa"/>
            </w:tcMar>
            <w:vAlign w:val="center"/>
          </w:tcPr>
          <w:p>
            <w:pPr>
              <w:spacing w:after="0" w:line="252" w:lineRule="auto"/>
            </w:pPr>
            <w:r>
              <w:rPr>
                <w:rFonts w:ascii="Aptos" w:hAnsi="Aptos"/>
                <w:b w:val="0"/>
                <w:i w:val="0"/>
                <w:color w:val="24323D"/>
                <w:sz w:val="17"/>
              </w:rPr>
              <w:t>Urgency</w:t>
            </w:r>
          </w:p>
        </w:tc>
        <w:tc>
          <w:tcPr>
            <w:tcW w:type="dxa" w:w="3820"/>
            <w:tcMar>
              <w:top w:w="90" w:type="dxa"/>
              <w:start w:w="120" w:type="dxa"/>
              <w:bottom w:w="90" w:type="dxa"/>
              <w:end w:w="120" w:type="dxa"/>
            </w:tcMar>
            <w:vAlign w:val="center"/>
          </w:tcPr>
          <w:p>
            <w:pPr>
              <w:spacing w:after="0" w:line="252" w:lineRule="auto"/>
            </w:pPr>
            <w:r>
              <w:rPr>
                <w:rFonts w:ascii="Aptos" w:hAnsi="Aptos"/>
                <w:b w:val="0"/>
                <w:i w:val="0"/>
                <w:color w:val="24323D"/>
                <w:sz w:val="17"/>
              </w:rPr>
              <w:t>“Act in ten minutes or your account will be blocked.”</w:t>
            </w:r>
          </w:p>
        </w:tc>
        <w:tc>
          <w:tcPr>
            <w:tcW w:type="dxa" w:w="4040"/>
            <w:tcMar>
              <w:top w:w="90" w:type="dxa"/>
              <w:start w:w="120" w:type="dxa"/>
              <w:bottom w:w="90" w:type="dxa"/>
              <w:end w:w="120" w:type="dxa"/>
            </w:tcMar>
            <w:vAlign w:val="center"/>
          </w:tcPr>
          <w:p>
            <w:pPr>
              <w:spacing w:after="0" w:line="252" w:lineRule="auto"/>
            </w:pPr>
            <w:r>
              <w:rPr>
                <w:rFonts w:ascii="Aptos" w:hAnsi="Aptos"/>
                <w:b w:val="0"/>
                <w:i w:val="0"/>
                <w:color w:val="24323D"/>
                <w:sz w:val="17"/>
              </w:rPr>
              <w:t>End the contact. Verify through the official app, website or known number.</w:t>
            </w:r>
          </w:p>
        </w:tc>
      </w:tr>
      <w:tr>
        <w:tc>
          <w:tcPr>
            <w:tcW w:type="dxa" w:w="1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Authority</w:t>
            </w:r>
          </w:p>
        </w:tc>
        <w:tc>
          <w:tcPr>
            <w:tcW w:type="dxa" w:w="382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“I am calling from your bank, police, RBI or tax office.”</w:t>
            </w:r>
          </w:p>
        </w:tc>
        <w:tc>
          <w:tcPr>
            <w:tcW w:type="dxa" w:w="404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Do not rely on caller ID, uniform, logo or video. Verify independently.</w:t>
            </w:r>
          </w:p>
        </w:tc>
      </w:tr>
      <w:tr>
        <w:tc>
          <w:tcPr>
            <w:tcW w:type="dxa" w:w="1500"/>
            <w:tcMar>
              <w:top w:w="90" w:type="dxa"/>
              <w:start w:w="120" w:type="dxa"/>
              <w:bottom w:w="90" w:type="dxa"/>
              <w:end w:w="120" w:type="dxa"/>
            </w:tcMar>
            <w:vAlign w:val="center"/>
          </w:tcPr>
          <w:p>
            <w:pPr>
              <w:spacing w:after="0" w:line="252" w:lineRule="auto"/>
            </w:pPr>
            <w:r>
              <w:rPr>
                <w:rFonts w:ascii="Aptos" w:hAnsi="Aptos"/>
                <w:b w:val="0"/>
                <w:i w:val="0"/>
                <w:color w:val="24323D"/>
                <w:sz w:val="17"/>
              </w:rPr>
              <w:t>Secrecy</w:t>
            </w:r>
          </w:p>
        </w:tc>
        <w:tc>
          <w:tcPr>
            <w:tcW w:type="dxa" w:w="3820"/>
            <w:tcMar>
              <w:top w:w="90" w:type="dxa"/>
              <w:start w:w="120" w:type="dxa"/>
              <w:bottom w:w="90" w:type="dxa"/>
              <w:end w:w="120" w:type="dxa"/>
            </w:tcMar>
            <w:vAlign w:val="center"/>
          </w:tcPr>
          <w:p>
            <w:pPr>
              <w:spacing w:after="0" w:line="252" w:lineRule="auto"/>
            </w:pPr>
            <w:r>
              <w:rPr>
                <w:rFonts w:ascii="Aptos" w:hAnsi="Aptos"/>
                <w:b w:val="0"/>
                <w:i w:val="0"/>
                <w:color w:val="24323D"/>
                <w:sz w:val="17"/>
              </w:rPr>
              <w:t>“Do not tell your spouse or bank; the case is confidential.”</w:t>
            </w:r>
          </w:p>
        </w:tc>
        <w:tc>
          <w:tcPr>
            <w:tcW w:type="dxa" w:w="4040"/>
            <w:tcMar>
              <w:top w:w="90" w:type="dxa"/>
              <w:start w:w="120" w:type="dxa"/>
              <w:bottom w:w="90" w:type="dxa"/>
              <w:end w:w="120" w:type="dxa"/>
            </w:tcMar>
            <w:vAlign w:val="center"/>
          </w:tcPr>
          <w:p>
            <w:pPr>
              <w:spacing w:after="0" w:line="252" w:lineRule="auto"/>
            </w:pPr>
            <w:r>
              <w:rPr>
                <w:rFonts w:ascii="Aptos" w:hAnsi="Aptos"/>
                <w:b w:val="0"/>
                <w:i w:val="0"/>
                <w:color w:val="24323D"/>
                <w:sz w:val="17"/>
              </w:rPr>
              <w:t>Speak to a trusted person. Legitimate processes do not require isolation.</w:t>
            </w:r>
          </w:p>
        </w:tc>
      </w:tr>
      <w:tr>
        <w:tc>
          <w:tcPr>
            <w:tcW w:type="dxa" w:w="1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Reward</w:t>
            </w:r>
          </w:p>
        </w:tc>
        <w:tc>
          <w:tcPr>
            <w:tcW w:type="dxa" w:w="382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“Pay a small fee to unlock a prize, job or profit.”</w:t>
            </w:r>
          </w:p>
        </w:tc>
        <w:tc>
          <w:tcPr>
            <w:tcW w:type="dxa" w:w="404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Do not pay to receive unexpected money.</w:t>
            </w:r>
          </w:p>
        </w:tc>
      </w:tr>
      <w:tr>
        <w:tc>
          <w:tcPr>
            <w:tcW w:type="dxa" w:w="1500"/>
            <w:tcMar>
              <w:top w:w="90" w:type="dxa"/>
              <w:start w:w="120" w:type="dxa"/>
              <w:bottom w:w="90" w:type="dxa"/>
              <w:end w:w="120" w:type="dxa"/>
            </w:tcMar>
            <w:vAlign w:val="center"/>
          </w:tcPr>
          <w:p>
            <w:pPr>
              <w:spacing w:after="0" w:line="252" w:lineRule="auto"/>
            </w:pPr>
            <w:r>
              <w:rPr>
                <w:rFonts w:ascii="Aptos" w:hAnsi="Aptos"/>
                <w:b w:val="0"/>
                <w:i w:val="0"/>
                <w:color w:val="24323D"/>
                <w:sz w:val="17"/>
              </w:rPr>
              <w:t>Recovery</w:t>
            </w:r>
          </w:p>
        </w:tc>
        <w:tc>
          <w:tcPr>
            <w:tcW w:type="dxa" w:w="3820"/>
            <w:tcMar>
              <w:top w:w="90" w:type="dxa"/>
              <w:start w:w="120" w:type="dxa"/>
              <w:bottom w:w="90" w:type="dxa"/>
              <w:end w:w="120" w:type="dxa"/>
            </w:tcMar>
            <w:vAlign w:val="center"/>
          </w:tcPr>
          <w:p>
            <w:pPr>
              <w:spacing w:after="0" w:line="252" w:lineRule="auto"/>
            </w:pPr>
            <w:r>
              <w:rPr>
                <w:rFonts w:ascii="Aptos" w:hAnsi="Aptos"/>
                <w:b w:val="0"/>
                <w:i w:val="0"/>
                <w:color w:val="24323D"/>
                <w:sz w:val="17"/>
              </w:rPr>
              <w:t>“Send more money and we will recover your loss.”</w:t>
            </w:r>
          </w:p>
        </w:tc>
        <w:tc>
          <w:tcPr>
            <w:tcW w:type="dxa" w:w="4040"/>
            <w:tcMar>
              <w:top w:w="90" w:type="dxa"/>
              <w:start w:w="120" w:type="dxa"/>
              <w:bottom w:w="90" w:type="dxa"/>
              <w:end w:w="120" w:type="dxa"/>
            </w:tcMar>
            <w:vAlign w:val="center"/>
          </w:tcPr>
          <w:p>
            <w:pPr>
              <w:spacing w:after="0" w:line="252" w:lineRule="auto"/>
            </w:pPr>
            <w:r>
              <w:rPr>
                <w:rFonts w:ascii="Aptos" w:hAnsi="Aptos"/>
                <w:b w:val="0"/>
                <w:i w:val="0"/>
                <w:color w:val="24323D"/>
                <w:sz w:val="17"/>
              </w:rPr>
              <w:t>Stop. Recovery scams often target people who have already been defrauded.</w:t>
            </w:r>
          </w:p>
        </w:tc>
      </w:tr>
    </w:tbl>
    <w:p>
      <w:pPr>
        <w:spacing w:after="20"/>
      </w:pPr>
    </w:p>
    <w:p>
      <w:pPr>
        <w:pStyle w:val="Heading1"/>
      </w:pPr>
      <w:r>
        <w:t>The secrets nobody should ask you to share</w:t>
      </w:r>
    </w:p>
    <w:p>
      <w:pPr>
        <w:pStyle w:val="ListBullet"/>
        <w:spacing w:after="60"/>
        <w:ind w:left="504" w:hanging="259"/>
      </w:pPr>
      <w:r>
        <w:rPr>
          <w:rFonts w:ascii="Aptos" w:hAnsi="Aptos"/>
          <w:b w:val="0"/>
          <w:i w:val="0"/>
          <w:color w:val="24323D"/>
          <w:sz w:val="20"/>
        </w:rPr>
        <w:t>OTP, UPI PIN, ATM PIN, CVV, passwords or security answers.</w:t>
      </w:r>
    </w:p>
    <w:p>
      <w:pPr>
        <w:pStyle w:val="ListBullet"/>
        <w:spacing w:after="60"/>
        <w:ind w:left="504" w:hanging="259"/>
      </w:pPr>
      <w:r>
        <w:rPr>
          <w:rFonts w:ascii="Aptos" w:hAnsi="Aptos"/>
          <w:b w:val="0"/>
          <w:i w:val="0"/>
          <w:color w:val="24323D"/>
          <w:sz w:val="20"/>
        </w:rPr>
        <w:t>A screen share, remote-access session or permission to control your phone.</w:t>
      </w:r>
    </w:p>
    <w:p>
      <w:pPr>
        <w:pStyle w:val="ListBullet"/>
        <w:spacing w:after="60"/>
        <w:ind w:left="504" w:hanging="259"/>
      </w:pPr>
      <w:r>
        <w:rPr>
          <w:rFonts w:ascii="Aptos" w:hAnsi="Aptos"/>
          <w:b w:val="0"/>
          <w:i w:val="0"/>
          <w:color w:val="24323D"/>
          <w:sz w:val="20"/>
        </w:rPr>
        <w:t>A QR-code scan or UPI PIN entry to “receive” ordinary money.</w:t>
      </w:r>
    </w:p>
    <w:p>
      <w:pPr>
        <w:pStyle w:val="ListBullet"/>
        <w:spacing w:after="60"/>
        <w:ind w:left="504" w:hanging="259"/>
      </w:pPr>
      <w:r>
        <w:rPr>
          <w:rFonts w:ascii="Aptos" w:hAnsi="Aptos"/>
          <w:b w:val="0"/>
          <w:i w:val="0"/>
          <w:color w:val="24323D"/>
          <w:sz w:val="20"/>
        </w:rPr>
        <w:t>Full card or account credentials through an unverified link or form.</w:t>
      </w:r>
    </w:p>
    <w:p>
      <w:pPr>
        <w:pStyle w:val="ListBullet"/>
        <w:spacing w:after="60"/>
        <w:ind w:left="504" w:hanging="259"/>
      </w:pPr>
      <w:r>
        <w:rPr>
          <w:rFonts w:ascii="Aptos" w:hAnsi="Aptos"/>
          <w:b w:val="0"/>
          <w:i w:val="0"/>
          <w:color w:val="24323D"/>
          <w:sz w:val="20"/>
        </w:rPr>
        <w:t>Demat, trading or mutual-fund login credentials.</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THE SIMPLEST RULE</w:t>
            </w:r>
          </w:p>
          <w:p>
            <w:pPr>
              <w:spacing w:after="0"/>
            </w:pPr>
            <w:r>
              <w:rPr>
                <w:rFonts w:ascii="Aptos" w:hAnsi="Aptos"/>
                <w:b w:val="0"/>
                <w:i w:val="0"/>
                <w:color w:val="24323D"/>
                <w:sz w:val="20"/>
              </w:rPr>
              <w:t>A PIN or OTP authorises access or payment. It is not needed to receive a normal refund, prize or incoming UPI transfer. If someone asks for it, end the interaction.</w:t>
            </w:r>
          </w:p>
        </w:tc>
      </w:tr>
    </w:tbl>
    <w:p>
      <w:pPr>
        <w:spacing w:after="20"/>
      </w:pPr>
    </w:p>
    <w:p>
      <w:pPr>
        <w:pStyle w:val="MVSource"/>
        <w:widowControl/>
      </w:pPr>
      <w:r>
        <w:rPr>
          <w:rFonts w:ascii="Aptos" w:hAnsi="Aptos"/>
          <w:b w:val="0"/>
          <w:i w:val="0"/>
          <w:color w:val="24323D"/>
          <w:sz w:val="21"/>
        </w:rPr>
        <w:t>Official basis: RBI public-awareness guidance on payment frauds and safe digital payments, checked 22 July 2026.</w:t>
      </w:r>
    </w:p>
    <w:p>
      <w:pPr>
        <w:pStyle w:val="Heading1"/>
      </w:pPr>
      <w:r>
        <w:t>Common scams and how they work</w:t>
      </w:r>
    </w:p>
    <w:p>
      <w:pPr>
        <w:pStyle w:val="Heading2"/>
      </w:pPr>
      <w:r>
        <w:t>UPI collect requests and QR-code tricks</w:t>
      </w:r>
    </w:p>
    <w:p>
      <w:pPr>
        <w:widowControl/>
      </w:pPr>
      <w:r>
        <w:rPr>
          <w:rFonts w:ascii="Aptos" w:hAnsi="Aptos"/>
          <w:b w:val="0"/>
          <w:i w:val="0"/>
          <w:color w:val="24323D"/>
          <w:sz w:val="21"/>
        </w:rPr>
        <w:t>A fraudster says she is sending money, then sends a collect request or asks you to scan a QR code and enter your UPI PIN. You may actually be approving a debit. Read the entire payment screen. Do not approve a transaction you did not initiate and understand.</w:t>
      </w:r>
    </w:p>
    <w:p>
      <w:pPr>
        <w:pStyle w:val="Heading2"/>
      </w:pPr>
      <w:r>
        <w:t>Fake KYC, bank and SIM calls</w:t>
      </w:r>
    </w:p>
    <w:p>
      <w:pPr>
        <w:widowControl/>
      </w:pPr>
      <w:r>
        <w:rPr>
          <w:rFonts w:ascii="Aptos" w:hAnsi="Aptos"/>
          <w:b w:val="0"/>
          <w:i w:val="0"/>
          <w:color w:val="24323D"/>
          <w:sz w:val="21"/>
        </w:rPr>
        <w:t>The caller warns that an account, card or mobile number will be blocked. A link installs a malicious app or captures credentials. Never use the link or number supplied in the threatening message. Contact the institution through its official channel.</w:t>
      </w:r>
    </w:p>
    <w:p>
      <w:pPr>
        <w:pStyle w:val="Heading2"/>
      </w:pPr>
      <w:r>
        <w:t>Remote-access and screen-sharing fraud</w:t>
      </w:r>
    </w:p>
    <w:p>
      <w:pPr>
        <w:widowControl/>
      </w:pPr>
      <w:r>
        <w:rPr>
          <w:rFonts w:ascii="Aptos" w:hAnsi="Aptos"/>
          <w:b w:val="0"/>
          <w:i w:val="0"/>
          <w:color w:val="24323D"/>
          <w:sz w:val="21"/>
        </w:rPr>
        <w:t>A supposed support agent asks you to install an app so she can “help.” Once granted access, the person may see OTPs, record the screen or operate apps. Banks do not need remote control of your personal phone to solve a routine complaint.</w:t>
      </w:r>
    </w:p>
    <w:p>
      <w:pPr>
        <w:pStyle w:val="Heading2"/>
      </w:pPr>
      <w:r>
        <w:t>Task, part-time-job and work-from-home scams</w:t>
      </w:r>
    </w:p>
    <w:p>
      <w:pPr>
        <w:widowControl/>
      </w:pPr>
      <w:r>
        <w:rPr>
          <w:rFonts w:ascii="Aptos" w:hAnsi="Aptos"/>
          <w:b w:val="0"/>
          <w:i w:val="0"/>
          <w:color w:val="24323D"/>
          <w:sz w:val="21"/>
        </w:rPr>
        <w:t>The offer begins with easy tasks and may even pay a small amount to build trust. Then the victim must deposit money, buy a membership, recharge a wallet or pay “tax” to release earnings. Real work pays you; it does not repeatedly ask you to pay to unlock wages.</w:t>
      </w:r>
    </w:p>
    <w:p>
      <w:pPr>
        <w:pStyle w:val="Heading2"/>
      </w:pPr>
      <w:r>
        <w:t>Investment groups, fake apps and finfluencer tips</w:t>
      </w:r>
    </w:p>
    <w:p>
      <w:pPr>
        <w:widowControl/>
      </w:pPr>
      <w:r>
        <w:rPr>
          <w:rFonts w:ascii="Aptos" w:hAnsi="Aptos"/>
          <w:b w:val="0"/>
          <w:i w:val="0"/>
          <w:color w:val="24323D"/>
          <w:sz w:val="21"/>
        </w:rPr>
        <w:t>A social-media group shows fabricated profits, celebrity videos or testimonials. Members are directed to an unknown app where a balance appears to grow, but withdrawals require further deposits. SEBI warns against guaranteed or near-certain returns, unregistered entities, complex unexplained strategies and pressure to act immediately.</w:t>
      </w:r>
    </w:p>
    <w:p>
      <w:pPr>
        <w:pStyle w:val="MVSource"/>
        <w:widowControl/>
      </w:pPr>
      <w:r>
        <w:rPr>
          <w:rFonts w:ascii="Aptos" w:hAnsi="Aptos"/>
          <w:b w:val="0"/>
          <w:i w:val="0"/>
          <w:color w:val="24323D"/>
          <w:sz w:val="21"/>
        </w:rPr>
        <w:t>Official basis: SEBI Investor “How to Spot a Scam,” cautions on Ponzi schemes and investor-awareness modules.</w:t>
      </w:r>
    </w:p>
    <w:p>
      <w:pPr>
        <w:pStyle w:val="Heading2"/>
      </w:pPr>
      <w:r>
        <w:t>Loan and advance-fee scams</w:t>
      </w:r>
    </w:p>
    <w:p>
      <w:pPr>
        <w:widowControl/>
      </w:pPr>
      <w:r>
        <w:rPr>
          <w:rFonts w:ascii="Aptos" w:hAnsi="Aptos"/>
          <w:b w:val="0"/>
          <w:i w:val="0"/>
          <w:color w:val="24323D"/>
          <w:sz w:val="21"/>
        </w:rPr>
        <w:t>An app or caller promises instant credit but demands processing charges, insurance, a security deposit or access to contacts and photos. Verify that the lender and app are legitimate through official sources. Never borrow from an app simply because it appears in an advertisement or app store.</w:t>
      </w:r>
    </w:p>
    <w:p>
      <w:pPr>
        <w:pStyle w:val="Heading2"/>
      </w:pPr>
      <w:r>
        <w:t>Impersonation, deepfakes and “family emergency” calls</w:t>
      </w:r>
    </w:p>
    <w:p>
      <w:pPr>
        <w:widowControl/>
      </w:pPr>
      <w:r>
        <w:rPr>
          <w:rFonts w:ascii="Aptos" w:hAnsi="Aptos"/>
          <w:b w:val="0"/>
          <w:i w:val="0"/>
          <w:color w:val="24323D"/>
          <w:sz w:val="21"/>
        </w:rPr>
        <w:t>A familiar photo, voice or video can be copied or generated. If a relative requests urgent money, call a known number or ask a private question. Agree on a family verification phrase that is never posted online.</w:t>
      </w:r>
    </w:p>
    <w:p>
      <w:pPr>
        <w:pStyle w:val="Heading2"/>
      </w:pPr>
      <w:r>
        <w:t>Digital arrest and authority impersonation</w:t>
      </w:r>
    </w:p>
    <w:p>
      <w:pPr>
        <w:widowControl/>
      </w:pPr>
      <w:r>
        <w:rPr>
          <w:rFonts w:ascii="Aptos" w:hAnsi="Aptos"/>
          <w:b w:val="0"/>
          <w:i w:val="0"/>
          <w:color w:val="24323D"/>
          <w:sz w:val="21"/>
        </w:rPr>
        <w:t>A caller claims you are under investigation and must remain on video, transfer money for “verification” or keep the matter secret. Do not transfer money. End the call and verify through official law-enforcement channels. Fear is being used as a payment tool.</w:t>
      </w:r>
    </w:p>
    <w:p>
      <w:pPr>
        <w:pStyle w:val="Heading1"/>
      </w:pPr>
      <w:r>
        <w:t>A two-minute verification routine</w:t>
      </w:r>
    </w:p>
    <w:p>
      <w:pPr>
        <w:pStyle w:val="ListNumber"/>
        <w:spacing w:after="60"/>
        <w:ind w:left="504" w:hanging="259"/>
      </w:pPr>
      <w:r>
        <w:rPr>
          <w:rFonts w:ascii="Aptos" w:hAnsi="Aptos"/>
          <w:b w:val="0"/>
          <w:i w:val="0"/>
          <w:color w:val="24323D"/>
          <w:sz w:val="20"/>
        </w:rPr>
        <w:t>Pause. Put the phone down or step away from the message.</w:t>
      </w:r>
    </w:p>
    <w:p>
      <w:pPr>
        <w:pStyle w:val="ListNumber"/>
        <w:spacing w:after="60"/>
        <w:ind w:left="504" w:hanging="259"/>
      </w:pPr>
      <w:r>
        <w:rPr>
          <w:rFonts w:ascii="Aptos" w:hAnsi="Aptos"/>
          <w:b w:val="0"/>
          <w:i w:val="0"/>
          <w:color w:val="24323D"/>
          <w:sz w:val="20"/>
        </w:rPr>
        <w:t>Verify the person or institution using a contact you find independently.</w:t>
      </w:r>
    </w:p>
    <w:p>
      <w:pPr>
        <w:pStyle w:val="ListNumber"/>
        <w:spacing w:after="60"/>
        <w:ind w:left="504" w:hanging="259"/>
      </w:pPr>
      <w:r>
        <w:rPr>
          <w:rFonts w:ascii="Aptos" w:hAnsi="Aptos"/>
          <w:b w:val="0"/>
          <w:i w:val="0"/>
          <w:color w:val="24323D"/>
          <w:sz w:val="20"/>
        </w:rPr>
        <w:t>Read the payment screen: payee, amount and whether money is being sent or requested.</w:t>
      </w:r>
    </w:p>
    <w:p>
      <w:pPr>
        <w:pStyle w:val="ListNumber"/>
        <w:spacing w:after="60"/>
        <w:ind w:left="504" w:hanging="259"/>
      </w:pPr>
      <w:r>
        <w:rPr>
          <w:rFonts w:ascii="Aptos" w:hAnsi="Aptos"/>
          <w:b w:val="0"/>
          <w:i w:val="0"/>
          <w:color w:val="24323D"/>
          <w:sz w:val="20"/>
        </w:rPr>
        <w:t>Check registration where relevant—such as a SEBI-regulated intermediary.</w:t>
      </w:r>
    </w:p>
    <w:p>
      <w:pPr>
        <w:pStyle w:val="ListNumber"/>
        <w:spacing w:after="60"/>
        <w:ind w:left="504" w:hanging="259"/>
      </w:pPr>
      <w:r>
        <w:rPr>
          <w:rFonts w:ascii="Aptos" w:hAnsi="Aptos"/>
          <w:b w:val="0"/>
          <w:i w:val="0"/>
          <w:color w:val="24323D"/>
          <w:sz w:val="20"/>
        </w:rPr>
        <w:t>Ask a trusted person before sending money under pressure.</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F9ECEB"/>
          </w:tcPr>
          <w:p>
            <w:pPr>
              <w:spacing w:after="80"/>
            </w:pPr>
            <w:r>
              <w:rPr>
                <w:rFonts w:ascii="Aptos" w:hAnsi="Aptos"/>
                <w:b/>
                <w:i w:val="0"/>
                <w:color w:val="9B3A35"/>
                <w:sz w:val="18"/>
              </w:rPr>
              <w:t>RED FLAGS</w:t>
            </w:r>
          </w:p>
          <w:p>
            <w:pPr>
              <w:spacing w:after="0"/>
            </w:pPr>
            <w:r>
              <w:rPr>
                <w:rFonts w:ascii="Aptos" w:hAnsi="Aptos"/>
                <w:b w:val="0"/>
                <w:i w:val="0"/>
                <w:color w:val="24323D"/>
                <w:sz w:val="20"/>
              </w:rPr>
              <w:t>Guaranteed high returns; daily profits; “limited slots”; secret tips; requests for cash or a personal account; spelling or domain changes; unofficial apps; a demand to stay on a call; a request to borrow from someone else; or repeated fees needed to release your own money.</w:t>
            </w:r>
          </w:p>
        </w:tc>
      </w:tr>
    </w:tbl>
    <w:p>
      <w:pPr>
        <w:spacing w:after="20"/>
      </w:pPr>
    </w:p>
    <w:p>
      <w:pPr>
        <w:pStyle w:val="Heading1"/>
      </w:pPr>
      <w:r>
        <w:t>If money has already left: act now</w:t>
      </w:r>
    </w:p>
    <w:tbl>
      <w:tblPr>
        <w:tblStyle w:val="TableGrid"/>
        <w:tblW w:type="dxa" w:w="9360"/>
        <w:jc w:val="center"/>
        <w:tblLayout w:type="fixed"/>
        <w:tblLook w:firstColumn="1" w:firstRow="1" w:lastColumn="0" w:lastRow="0" w:noHBand="0" w:noVBand="1" w:val="04A0"/>
        <w:tblInd w:w="120" w:type="dxa"/>
      </w:tblPr>
      <w:tblGrid>
        <w:gridCol w:w="650"/>
        <w:gridCol w:w="4050"/>
        <w:gridCol w:w="4660"/>
      </w:tblGrid>
      <w:tr>
        <w:trPr>
          <w:tblHeader w:val="true"/>
        </w:trPr>
        <w:tc>
          <w:tcPr>
            <w:tcW w:type="dxa" w:w="650"/>
            <w:tcMar>
              <w:top w:w="90" w:type="dxa"/>
              <w:start w:w="120" w:type="dxa"/>
              <w:bottom w:w="90" w:type="dxa"/>
              <w:end w:w="120" w:type="dxa"/>
            </w:tcMar>
            <w:shd w:fill="24445C"/>
            <w:vAlign w:val="center"/>
          </w:tcPr>
          <w:p>
            <w:pPr>
              <w:spacing w:after="0"/>
            </w:pPr>
            <w:r>
              <w:rPr>
                <w:rFonts w:ascii="Aptos" w:hAnsi="Aptos"/>
                <w:b/>
                <w:i w:val="0"/>
                <w:color w:val="FFFFFF"/>
                <w:sz w:val="18"/>
              </w:rPr>
              <w:t>Order</w:t>
            </w:r>
          </w:p>
        </w:tc>
        <w:tc>
          <w:tcPr>
            <w:tcW w:type="dxa" w:w="4050"/>
            <w:tcMar>
              <w:top w:w="90" w:type="dxa"/>
              <w:start w:w="120" w:type="dxa"/>
              <w:bottom w:w="90" w:type="dxa"/>
              <w:end w:w="120" w:type="dxa"/>
            </w:tcMar>
            <w:shd w:fill="24445C"/>
            <w:vAlign w:val="center"/>
          </w:tcPr>
          <w:p>
            <w:pPr>
              <w:spacing w:after="0"/>
            </w:pPr>
            <w:r>
              <w:rPr>
                <w:rFonts w:ascii="Aptos" w:hAnsi="Aptos"/>
                <w:b/>
                <w:i w:val="0"/>
                <w:color w:val="FFFFFF"/>
                <w:sz w:val="18"/>
              </w:rPr>
              <w:t>Action</w:t>
            </w:r>
          </w:p>
        </w:tc>
        <w:tc>
          <w:tcPr>
            <w:tcW w:type="dxa" w:w="4660"/>
            <w:tcMar>
              <w:top w:w="90" w:type="dxa"/>
              <w:start w:w="120" w:type="dxa"/>
              <w:bottom w:w="90" w:type="dxa"/>
              <w:end w:w="120" w:type="dxa"/>
            </w:tcMar>
            <w:shd w:fill="24445C"/>
            <w:vAlign w:val="center"/>
          </w:tcPr>
          <w:p>
            <w:pPr>
              <w:spacing w:after="0"/>
            </w:pPr>
            <w:r>
              <w:rPr>
                <w:rFonts w:ascii="Aptos" w:hAnsi="Aptos"/>
                <w:b/>
                <w:i w:val="0"/>
                <w:color w:val="FFFFFF"/>
                <w:sz w:val="18"/>
              </w:rPr>
              <w:t>Why it matters</w:t>
            </w:r>
          </w:p>
        </w:tc>
      </w:tr>
      <w:tr>
        <w:tc>
          <w:tcPr>
            <w:tcW w:type="dxa" w:w="650"/>
            <w:tcMar>
              <w:top w:w="90" w:type="dxa"/>
              <w:start w:w="120" w:type="dxa"/>
              <w:bottom w:w="90" w:type="dxa"/>
              <w:end w:w="120" w:type="dxa"/>
            </w:tcMar>
            <w:vAlign w:val="center"/>
          </w:tcPr>
          <w:p>
            <w:pPr>
              <w:spacing w:after="0" w:line="252" w:lineRule="auto"/>
            </w:pPr>
            <w:r>
              <w:rPr>
                <w:rFonts w:ascii="Aptos" w:hAnsi="Aptos"/>
                <w:b w:val="0"/>
                <w:i w:val="0"/>
                <w:color w:val="24323D"/>
                <w:sz w:val="16"/>
              </w:rPr>
              <w:t>1</w:t>
            </w:r>
          </w:p>
        </w:tc>
        <w:tc>
          <w:tcPr>
            <w:tcW w:type="dxa" w:w="4050"/>
            <w:tcMar>
              <w:top w:w="90" w:type="dxa"/>
              <w:start w:w="120" w:type="dxa"/>
              <w:bottom w:w="90" w:type="dxa"/>
              <w:end w:w="120" w:type="dxa"/>
            </w:tcMar>
            <w:vAlign w:val="center"/>
          </w:tcPr>
          <w:p>
            <w:pPr>
              <w:spacing w:after="0" w:line="252" w:lineRule="auto"/>
            </w:pPr>
            <w:r>
              <w:rPr>
                <w:rFonts w:ascii="Aptos" w:hAnsi="Aptos"/>
                <w:b w:val="0"/>
                <w:i w:val="0"/>
                <w:color w:val="24323D"/>
                <w:sz w:val="16"/>
              </w:rPr>
              <w:t>Contact your bank, card issuer, wallet or payment app through its official emergency channel. Ask to block the instrument/account and raise a fraud dispute.</w:t>
            </w:r>
          </w:p>
        </w:tc>
        <w:tc>
          <w:tcPr>
            <w:tcW w:type="dxa" w:w="4660"/>
            <w:tcMar>
              <w:top w:w="90" w:type="dxa"/>
              <w:start w:w="120" w:type="dxa"/>
              <w:bottom w:w="90" w:type="dxa"/>
              <w:end w:w="120" w:type="dxa"/>
            </w:tcMar>
            <w:vAlign w:val="center"/>
          </w:tcPr>
          <w:p>
            <w:pPr>
              <w:spacing w:after="0" w:line="252" w:lineRule="auto"/>
            </w:pPr>
            <w:r>
              <w:rPr>
                <w:rFonts w:ascii="Aptos" w:hAnsi="Aptos"/>
                <w:b w:val="0"/>
                <w:i w:val="0"/>
                <w:color w:val="24323D"/>
                <w:sz w:val="16"/>
              </w:rPr>
              <w:t>Rapid reporting may help prevent further transactions and supports the investigation.</w:t>
            </w:r>
          </w:p>
        </w:tc>
      </w:tr>
      <w:tr>
        <w:tc>
          <w:tcPr>
            <w:tcW w:type="dxa" w:w="6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2</w:t>
            </w:r>
          </w:p>
        </w:tc>
        <w:tc>
          <w:tcPr>
            <w:tcW w:type="dxa" w:w="40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Call India’s National Cybercrime Helpline 1930 and report at cybercrime.gov.in. Keep the acknowledgement number.</w:t>
            </w:r>
          </w:p>
        </w:tc>
        <w:tc>
          <w:tcPr>
            <w:tcW w:type="dxa" w:w="46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The official reporting system coordinates with financial intermediaries; speed matters.</w:t>
            </w:r>
          </w:p>
        </w:tc>
      </w:tr>
      <w:tr>
        <w:tc>
          <w:tcPr>
            <w:tcW w:type="dxa" w:w="650"/>
            <w:tcMar>
              <w:top w:w="90" w:type="dxa"/>
              <w:start w:w="120" w:type="dxa"/>
              <w:bottom w:w="90" w:type="dxa"/>
              <w:end w:w="120" w:type="dxa"/>
            </w:tcMar>
            <w:vAlign w:val="center"/>
          </w:tcPr>
          <w:p>
            <w:pPr>
              <w:spacing w:after="0" w:line="252" w:lineRule="auto"/>
            </w:pPr>
            <w:r>
              <w:rPr>
                <w:rFonts w:ascii="Aptos" w:hAnsi="Aptos"/>
                <w:b w:val="0"/>
                <w:i w:val="0"/>
                <w:color w:val="24323D"/>
                <w:sz w:val="16"/>
              </w:rPr>
              <w:t>3</w:t>
            </w:r>
          </w:p>
        </w:tc>
        <w:tc>
          <w:tcPr>
            <w:tcW w:type="dxa" w:w="4050"/>
            <w:tcMar>
              <w:top w:w="90" w:type="dxa"/>
              <w:start w:w="120" w:type="dxa"/>
              <w:bottom w:w="90" w:type="dxa"/>
              <w:end w:w="120" w:type="dxa"/>
            </w:tcMar>
            <w:vAlign w:val="center"/>
          </w:tcPr>
          <w:p>
            <w:pPr>
              <w:spacing w:after="0" w:line="252" w:lineRule="auto"/>
            </w:pPr>
            <w:r>
              <w:rPr>
                <w:rFonts w:ascii="Aptos" w:hAnsi="Aptos"/>
                <w:b w:val="0"/>
                <w:i w:val="0"/>
                <w:color w:val="24323D"/>
                <w:sz w:val="16"/>
              </w:rPr>
              <w:t>Preserve evidence: screenshots, phone numbers, URLs, UPI IDs, transaction IDs, messages, emails and call times.</w:t>
            </w:r>
          </w:p>
        </w:tc>
        <w:tc>
          <w:tcPr>
            <w:tcW w:type="dxa" w:w="4660"/>
            <w:tcMar>
              <w:top w:w="90" w:type="dxa"/>
              <w:start w:w="120" w:type="dxa"/>
              <w:bottom w:w="90" w:type="dxa"/>
              <w:end w:w="120" w:type="dxa"/>
            </w:tcMar>
            <w:vAlign w:val="center"/>
          </w:tcPr>
          <w:p>
            <w:pPr>
              <w:spacing w:after="0" w:line="252" w:lineRule="auto"/>
            </w:pPr>
            <w:r>
              <w:rPr>
                <w:rFonts w:ascii="Aptos" w:hAnsi="Aptos"/>
                <w:b w:val="0"/>
                <w:i w:val="0"/>
                <w:color w:val="24323D"/>
                <w:sz w:val="16"/>
              </w:rPr>
              <w:t>Do not delete the trail, even if it feels embarrassing.</w:t>
            </w:r>
          </w:p>
        </w:tc>
      </w:tr>
      <w:tr>
        <w:tc>
          <w:tcPr>
            <w:tcW w:type="dxa" w:w="6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4</w:t>
            </w:r>
          </w:p>
        </w:tc>
        <w:tc>
          <w:tcPr>
            <w:tcW w:type="dxa" w:w="40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Change affected passwords from a clean device; remove remote-access apps; contact your telecom provider if SIM compromise is suspected.</w:t>
            </w:r>
          </w:p>
        </w:tc>
        <w:tc>
          <w:tcPr>
            <w:tcW w:type="dxa" w:w="46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This limits continuing access.</w:t>
            </w:r>
          </w:p>
        </w:tc>
      </w:tr>
      <w:tr>
        <w:tc>
          <w:tcPr>
            <w:tcW w:type="dxa" w:w="650"/>
            <w:tcMar>
              <w:top w:w="90" w:type="dxa"/>
              <w:start w:w="120" w:type="dxa"/>
              <w:bottom w:w="90" w:type="dxa"/>
              <w:end w:w="120" w:type="dxa"/>
            </w:tcMar>
            <w:vAlign w:val="center"/>
          </w:tcPr>
          <w:p>
            <w:pPr>
              <w:spacing w:after="0" w:line="252" w:lineRule="auto"/>
            </w:pPr>
            <w:r>
              <w:rPr>
                <w:rFonts w:ascii="Aptos" w:hAnsi="Aptos"/>
                <w:b w:val="0"/>
                <w:i w:val="0"/>
                <w:color w:val="24323D"/>
                <w:sz w:val="16"/>
              </w:rPr>
              <w:t>5</w:t>
            </w:r>
          </w:p>
        </w:tc>
        <w:tc>
          <w:tcPr>
            <w:tcW w:type="dxa" w:w="4050"/>
            <w:tcMar>
              <w:top w:w="90" w:type="dxa"/>
              <w:start w:w="120" w:type="dxa"/>
              <w:bottom w:w="90" w:type="dxa"/>
              <w:end w:w="120" w:type="dxa"/>
            </w:tcMar>
            <w:vAlign w:val="center"/>
          </w:tcPr>
          <w:p>
            <w:pPr>
              <w:spacing w:after="0" w:line="252" w:lineRule="auto"/>
            </w:pPr>
            <w:r>
              <w:rPr>
                <w:rFonts w:ascii="Aptos" w:hAnsi="Aptos"/>
                <w:b w:val="0"/>
                <w:i w:val="0"/>
                <w:color w:val="24323D"/>
                <w:sz w:val="16"/>
              </w:rPr>
              <w:t>Monitor accounts and credit information. Follow the bank’s written complaint and escalation process.</w:t>
            </w:r>
          </w:p>
        </w:tc>
        <w:tc>
          <w:tcPr>
            <w:tcW w:type="dxa" w:w="4660"/>
            <w:tcMar>
              <w:top w:w="90" w:type="dxa"/>
              <w:start w:w="120" w:type="dxa"/>
              <w:bottom w:w="90" w:type="dxa"/>
              <w:end w:w="120" w:type="dxa"/>
            </w:tcMar>
            <w:vAlign w:val="center"/>
          </w:tcPr>
          <w:p>
            <w:pPr>
              <w:spacing w:after="0" w:line="252" w:lineRule="auto"/>
            </w:pPr>
            <w:r>
              <w:rPr>
                <w:rFonts w:ascii="Aptos" w:hAnsi="Aptos"/>
                <w:b w:val="0"/>
                <w:i w:val="0"/>
                <w:color w:val="24323D"/>
                <w:sz w:val="16"/>
              </w:rPr>
              <w:t>A fraud can lead to later attempts or identity misuse.</w:t>
            </w:r>
          </w:p>
        </w:tc>
      </w:tr>
    </w:tbl>
    <w:p>
      <w:pPr>
        <w:spacing w:after="20"/>
      </w:pPr>
    </w:p>
    <w:p>
      <w:pPr>
        <w:pStyle w:val="MVSource"/>
        <w:widowControl/>
      </w:pPr>
      <w:r>
        <w:rPr>
          <w:rFonts w:ascii="Aptos" w:hAnsi="Aptos"/>
          <w:b w:val="0"/>
          <w:i w:val="0"/>
          <w:color w:val="24323D"/>
          <w:sz w:val="21"/>
        </w:rPr>
        <w:t>Official reporting: National Cyber Crime Reporting Portal and helpline 1930, checked 22 July 2026.</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DO NOT LET SHAME DELAY YOU</w:t>
            </w:r>
          </w:p>
          <w:p>
            <w:pPr>
              <w:spacing w:after="0"/>
            </w:pPr>
            <w:r>
              <w:rPr>
                <w:rFonts w:ascii="Aptos" w:hAnsi="Aptos"/>
                <w:b w:val="0"/>
                <w:i w:val="0"/>
                <w:color w:val="24323D"/>
                <w:sz w:val="20"/>
              </w:rPr>
              <w:t>Intelligent, careful people are defrauded because scams are designed to manipulate ordinary human reactions. Reporting quickly is a protective action, not an admission of foolishness.</w:t>
            </w:r>
          </w:p>
        </w:tc>
      </w:tr>
    </w:tbl>
    <w:p>
      <w:pPr>
        <w:spacing w:after="20"/>
      </w:pPr>
    </w:p>
    <w:p>
      <w:pPr>
        <w:pStyle w:val="Heading1"/>
      </w:pPr>
      <w:r>
        <w:t>Build a safer family system</w:t>
      </w:r>
    </w:p>
    <w:p>
      <w:pPr>
        <w:pStyle w:val="ListBullet"/>
        <w:spacing w:after="60"/>
        <w:ind w:left="504" w:hanging="259"/>
      </w:pPr>
      <w:r>
        <w:rPr>
          <w:rFonts w:ascii="Aptos" w:hAnsi="Aptos"/>
          <w:b w:val="0"/>
          <w:i w:val="0"/>
          <w:color w:val="24323D"/>
          <w:sz w:val="20"/>
        </w:rPr>
        <w:t>Use unique passwords and enable strong authentication where available.</w:t>
      </w:r>
    </w:p>
    <w:p>
      <w:pPr>
        <w:pStyle w:val="ListBullet"/>
        <w:spacing w:after="60"/>
        <w:ind w:left="504" w:hanging="259"/>
      </w:pPr>
      <w:r>
        <w:rPr>
          <w:rFonts w:ascii="Aptos" w:hAnsi="Aptos"/>
          <w:b w:val="0"/>
          <w:i w:val="0"/>
          <w:color w:val="24323D"/>
          <w:sz w:val="20"/>
        </w:rPr>
        <w:t>Set transaction alerts and sensible daily limits.</w:t>
      </w:r>
    </w:p>
    <w:p>
      <w:pPr>
        <w:pStyle w:val="ListBullet"/>
        <w:spacing w:after="60"/>
        <w:ind w:left="504" w:hanging="259"/>
      </w:pPr>
      <w:r>
        <w:rPr>
          <w:rFonts w:ascii="Aptos" w:hAnsi="Aptos"/>
          <w:b w:val="0"/>
          <w:i w:val="0"/>
          <w:color w:val="24323D"/>
          <w:sz w:val="20"/>
        </w:rPr>
        <w:t>Keep banking and investment apps updated; install apps only from verified publishers.</w:t>
      </w:r>
    </w:p>
    <w:p>
      <w:pPr>
        <w:pStyle w:val="ListBullet"/>
        <w:spacing w:after="60"/>
        <w:ind w:left="504" w:hanging="259"/>
      </w:pPr>
      <w:r>
        <w:rPr>
          <w:rFonts w:ascii="Aptos" w:hAnsi="Aptos"/>
          <w:b w:val="0"/>
          <w:i w:val="0"/>
          <w:color w:val="24323D"/>
          <w:sz w:val="20"/>
        </w:rPr>
        <w:t>Review bank, card, demat and investment statements.</w:t>
      </w:r>
    </w:p>
    <w:p>
      <w:pPr>
        <w:pStyle w:val="ListBullet"/>
        <w:spacing w:after="60"/>
        <w:ind w:left="504" w:hanging="259"/>
      </w:pPr>
      <w:r>
        <w:rPr>
          <w:rFonts w:ascii="Aptos" w:hAnsi="Aptos"/>
          <w:b w:val="0"/>
          <w:i w:val="0"/>
          <w:color w:val="24323D"/>
          <w:sz w:val="20"/>
        </w:rPr>
        <w:t>Limit personal information visible on social media.</w:t>
      </w:r>
    </w:p>
    <w:p>
      <w:pPr>
        <w:pStyle w:val="ListBullet"/>
        <w:spacing w:after="60"/>
        <w:ind w:left="504" w:hanging="259"/>
      </w:pPr>
      <w:r>
        <w:rPr>
          <w:rFonts w:ascii="Aptos" w:hAnsi="Aptos"/>
          <w:b w:val="0"/>
          <w:i w:val="0"/>
          <w:color w:val="24323D"/>
          <w:sz w:val="20"/>
        </w:rPr>
        <w:t>Teach children and older relatives the family rule: no money transfer during an unexpected call without independent verification.</w:t>
      </w:r>
    </w:p>
    <w:p>
      <w:pPr>
        <w:pStyle w:val="ListBullet"/>
        <w:spacing w:after="60"/>
        <w:ind w:left="504" w:hanging="259"/>
      </w:pPr>
      <w:r>
        <w:rPr>
          <w:rFonts w:ascii="Aptos" w:hAnsi="Aptos"/>
          <w:b w:val="0"/>
          <w:i w:val="0"/>
          <w:color w:val="24323D"/>
          <w:sz w:val="20"/>
        </w:rPr>
        <w:t>Store official emergency numbers separately; do not rely on numbers inside suspicious messages.</w:t>
      </w:r>
    </w:p>
    <w:p>
      <w:pPr>
        <w:pStyle w:val="Heading1"/>
      </w:pPr>
      <w:r>
        <w:t>Common mistakes</w:t>
      </w:r>
    </w:p>
    <w:p>
      <w:pPr>
        <w:pStyle w:val="ListBullet"/>
        <w:spacing w:after="60"/>
        <w:ind w:left="504" w:hanging="259"/>
      </w:pPr>
      <w:r>
        <w:rPr>
          <w:rFonts w:ascii="Aptos" w:hAnsi="Aptos"/>
          <w:b w:val="0"/>
          <w:i w:val="0"/>
          <w:color w:val="24323D"/>
          <w:sz w:val="20"/>
        </w:rPr>
        <w:t>Staying on the call while trying to verify the caller.</w:t>
      </w:r>
    </w:p>
    <w:p>
      <w:pPr>
        <w:pStyle w:val="ListBullet"/>
        <w:spacing w:after="60"/>
        <w:ind w:left="504" w:hanging="259"/>
      </w:pPr>
      <w:r>
        <w:rPr>
          <w:rFonts w:ascii="Aptos" w:hAnsi="Aptos"/>
          <w:b w:val="0"/>
          <w:i w:val="0"/>
          <w:color w:val="24323D"/>
          <w:sz w:val="20"/>
        </w:rPr>
        <w:t>Searching for a customer-care number and trusting the first advertisement.</w:t>
      </w:r>
    </w:p>
    <w:p>
      <w:pPr>
        <w:pStyle w:val="ListBullet"/>
        <w:spacing w:after="60"/>
        <w:ind w:left="504" w:hanging="259"/>
      </w:pPr>
      <w:r>
        <w:rPr>
          <w:rFonts w:ascii="Aptos" w:hAnsi="Aptos"/>
          <w:b w:val="0"/>
          <w:i w:val="0"/>
          <w:color w:val="24323D"/>
          <w:sz w:val="20"/>
        </w:rPr>
        <w:t>Assuming a blue tick, logo, caller ID or video proves identity.</w:t>
      </w:r>
    </w:p>
    <w:p>
      <w:pPr>
        <w:pStyle w:val="ListBullet"/>
        <w:spacing w:after="60"/>
        <w:ind w:left="504" w:hanging="259"/>
      </w:pPr>
      <w:r>
        <w:rPr>
          <w:rFonts w:ascii="Aptos" w:hAnsi="Aptos"/>
          <w:b w:val="0"/>
          <w:i w:val="0"/>
          <w:color w:val="24323D"/>
          <w:sz w:val="20"/>
        </w:rPr>
        <w:t>Sending a small “test” payment to an unknown person.</w:t>
      </w:r>
    </w:p>
    <w:p>
      <w:pPr>
        <w:pStyle w:val="ListBullet"/>
        <w:spacing w:after="60"/>
        <w:ind w:left="504" w:hanging="259"/>
      </w:pPr>
      <w:r>
        <w:rPr>
          <w:rFonts w:ascii="Aptos" w:hAnsi="Aptos"/>
          <w:b w:val="0"/>
          <w:i w:val="0"/>
          <w:color w:val="24323D"/>
          <w:sz w:val="20"/>
        </w:rPr>
        <w:t>Paying again to recover earlier money.</w:t>
      </w:r>
    </w:p>
    <w:p>
      <w:pPr>
        <w:pStyle w:val="ListBullet"/>
        <w:spacing w:after="60"/>
        <w:ind w:left="504" w:hanging="259"/>
      </w:pPr>
      <w:r>
        <w:rPr>
          <w:rFonts w:ascii="Aptos" w:hAnsi="Aptos"/>
          <w:b w:val="0"/>
          <w:i w:val="0"/>
          <w:color w:val="24323D"/>
          <w:sz w:val="20"/>
        </w:rPr>
        <w:t>Deleting messages before saving evidence.</w:t>
      </w:r>
    </w:p>
    <w:p>
      <w:pPr>
        <w:pStyle w:val="ListBullet"/>
        <w:spacing w:after="60"/>
        <w:ind w:left="504" w:hanging="259"/>
      </w:pPr>
      <w:r>
        <w:rPr>
          <w:rFonts w:ascii="Aptos" w:hAnsi="Aptos"/>
          <w:b w:val="0"/>
          <w:i w:val="0"/>
          <w:color w:val="24323D"/>
          <w:sz w:val="20"/>
        </w:rPr>
        <w:t>Waiting until the next day because the amount seems small.</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Your strongest protection is not technical brilliance. It is permission to stop. End the call, close the link, verify independently and speak to someone you trust.</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Save your bank’s official fraud-reporting number, 1930 and cybercrime.gov.in in your family financial folder. Then agree on a private family verification phrase for urgent money requests.</w:t>
            </w:r>
          </w:p>
        </w:tc>
      </w:tr>
    </w:tbl>
    <w:p>
      <w:pPr>
        <w:spacing w:after="20"/>
      </w:pPr>
    </w:p>
    <w:p>
      <w:r>
        <w:br w:type="page"/>
      </w:r>
    </w:p>
    <w:p>
      <w:pPr>
        <w:pStyle w:val="MVKicker"/>
        <w:widowControl/>
      </w:pPr>
      <w:r>
        <w:rPr>
          <w:rFonts w:ascii="Aptos" w:hAnsi="Aptos"/>
          <w:b w:val="0"/>
          <w:i w:val="0"/>
          <w:color w:val="24323D"/>
          <w:sz w:val="21"/>
        </w:rPr>
        <w:t>CHAPTER 20</w:t>
      </w:r>
    </w:p>
    <w:p>
      <w:pPr>
        <w:pStyle w:val="Title"/>
      </w:pPr>
      <w:r>
        <w:t>Financial Terms Made Simple</w:t>
      </w:r>
    </w:p>
    <w:p>
      <w:pPr>
        <w:pStyle w:val="MVQuote"/>
        <w:widowControl/>
      </w:pPr>
      <w:r>
        <w:rPr>
          <w:rFonts w:ascii="Aptos" w:hAnsi="Aptos"/>
          <w:b w:val="0"/>
          <w:i/>
          <w:color w:val="24323D"/>
          <w:sz w:val="21"/>
        </w:rPr>
        <w:t>“You do not need to memorise the language. You need to know what question each word is answering.”</w:t>
      </w:r>
    </w:p>
    <w:p>
      <w:pPr>
        <w:widowControl/>
      </w:pPr>
      <w:r>
        <w:rPr>
          <w:rFonts w:ascii="Aptos" w:hAnsi="Aptos"/>
          <w:b w:val="0"/>
          <w:i w:val="0"/>
          <w:color w:val="24323D"/>
          <w:sz w:val="21"/>
        </w:rPr>
        <w:t>The first time Farah met a financial adviser, the conversation moved quickly: inflation, liquidity, NAV, CAGR, nominee, term cover and tax deduction. She understood each sentence separately, yet left feeling she had missed something important.</w:t>
      </w:r>
    </w:p>
    <w:p>
      <w:pPr>
        <w:widowControl/>
      </w:pPr>
      <w:r>
        <w:rPr>
          <w:rFonts w:ascii="Aptos" w:hAnsi="Aptos"/>
          <w:b w:val="0"/>
          <w:i w:val="0"/>
          <w:color w:val="24323D"/>
          <w:sz w:val="21"/>
        </w:rPr>
        <w:t>The problem was not her ability. Finance often compresses a full idea into one small word. This chapter opens those words again. Use it as a reference, not an exam.</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HOW TO USE THIS CHAPTER</w:t>
            </w:r>
          </w:p>
          <w:p>
            <w:pPr>
              <w:spacing w:after="0"/>
            </w:pPr>
            <w:r>
              <w:rPr>
                <w:rFonts w:ascii="Aptos" w:hAnsi="Aptos"/>
                <w:b w:val="0"/>
                <w:i w:val="0"/>
                <w:color w:val="24323D"/>
                <w:sz w:val="20"/>
              </w:rPr>
              <w:t>When you meet an unfamiliar term, read the plain meaning and then ask the suggested question. Understanding is more useful than repeating a definition.</w:t>
            </w:r>
          </w:p>
        </w:tc>
      </w:tr>
    </w:tbl>
    <w:p>
      <w:pPr>
        <w:spacing w:after="20"/>
      </w:pPr>
    </w:p>
    <w:p>
      <w:pPr>
        <w:pStyle w:val="Heading1"/>
      </w:pPr>
      <w:r>
        <w:t>Everyday money and planning</w:t>
      </w:r>
    </w:p>
    <w:tbl>
      <w:tblPr>
        <w:tblStyle w:val="TableGrid"/>
        <w:tblW w:type="dxa" w:w="9360"/>
        <w:jc w:val="center"/>
        <w:tblLayout w:type="fixed"/>
        <w:tblLook w:firstColumn="1" w:firstRow="1" w:lastColumn="0" w:lastRow="0" w:noHBand="0" w:noVBand="1" w:val="04A0"/>
        <w:tblInd w:w="120" w:type="dxa"/>
      </w:tblPr>
      <w:tblGrid>
        <w:gridCol w:w="1800"/>
        <w:gridCol w:w="4100"/>
        <w:gridCol w:w="3460"/>
      </w:tblGrid>
      <w:tr>
        <w:trPr>
          <w:tblHeader w:val="true"/>
        </w:trPr>
        <w:tc>
          <w:tcPr>
            <w:tcW w:type="dxa" w:w="1800"/>
            <w:tcMar>
              <w:top w:w="90" w:type="dxa"/>
              <w:start w:w="120" w:type="dxa"/>
              <w:bottom w:w="90" w:type="dxa"/>
              <w:end w:w="120" w:type="dxa"/>
            </w:tcMar>
            <w:shd w:fill="24445C"/>
            <w:vAlign w:val="center"/>
          </w:tcPr>
          <w:p>
            <w:pPr>
              <w:spacing w:after="0"/>
            </w:pPr>
            <w:r>
              <w:rPr>
                <w:rFonts w:ascii="Aptos" w:hAnsi="Aptos"/>
                <w:b/>
                <w:i w:val="0"/>
                <w:color w:val="FFFFFF"/>
                <w:sz w:val="18"/>
              </w:rPr>
              <w:t>Term</w:t>
            </w:r>
          </w:p>
        </w:tc>
        <w:tc>
          <w:tcPr>
            <w:tcW w:type="dxa" w:w="4100"/>
            <w:tcMar>
              <w:top w:w="90" w:type="dxa"/>
              <w:start w:w="120" w:type="dxa"/>
              <w:bottom w:w="90" w:type="dxa"/>
              <w:end w:w="120" w:type="dxa"/>
            </w:tcMar>
            <w:shd w:fill="24445C"/>
            <w:vAlign w:val="center"/>
          </w:tcPr>
          <w:p>
            <w:pPr>
              <w:spacing w:after="0"/>
            </w:pPr>
            <w:r>
              <w:rPr>
                <w:rFonts w:ascii="Aptos" w:hAnsi="Aptos"/>
                <w:b/>
                <w:i w:val="0"/>
                <w:color w:val="FFFFFF"/>
                <w:sz w:val="18"/>
              </w:rPr>
              <w:t>Plain meaning</w:t>
            </w:r>
          </w:p>
        </w:tc>
        <w:tc>
          <w:tcPr>
            <w:tcW w:type="dxa" w:w="3460"/>
            <w:tcMar>
              <w:top w:w="90" w:type="dxa"/>
              <w:start w:w="120" w:type="dxa"/>
              <w:bottom w:w="90" w:type="dxa"/>
              <w:end w:w="120" w:type="dxa"/>
            </w:tcMar>
            <w:shd w:fill="24445C"/>
            <w:vAlign w:val="center"/>
          </w:tcPr>
          <w:p>
            <w:pPr>
              <w:spacing w:after="0"/>
            </w:pPr>
            <w:r>
              <w:rPr>
                <w:rFonts w:ascii="Aptos" w:hAnsi="Aptos"/>
                <w:b/>
                <w:i w:val="0"/>
                <w:color w:val="FFFFFF"/>
                <w:sz w:val="18"/>
              </w:rPr>
              <w:t>A useful question</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Asset</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Something you own that has financial value.</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How easily can it be valued and sold?</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Liability</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Money you owe or a financial obligation.</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What is the interest rate and repayment date?</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Net worth</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Assets minus liabilities—a snapshot, not a judgement.</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Is it moving in the right direction over time?</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Cash flow</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Money coming in and going out during a period.</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Do regular outflows leave room for goals?</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Budget</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A plan for how money will be used.</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Does it reflect what matters to our family?</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Emergency fund</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Accessible money reserved for genuine disruptions.</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How many months of essentials can it cover?</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Inflation</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A general rise in prices that reduces purchasing power.</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Will this goal cost more by the time I need it?</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Liquidity</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How quickly an asset can become usable cash without a large loss.</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Can I access it when the goal arrives?</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Time horizon</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How long until you expect to need the money.</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Can the investment recover from short-term falls?</w:t>
            </w:r>
          </w:p>
        </w:tc>
      </w:tr>
    </w:tbl>
    <w:p>
      <w:pPr>
        <w:spacing w:after="20"/>
      </w:pPr>
    </w:p>
    <w:p>
      <w:pPr>
        <w:pStyle w:val="Heading1"/>
      </w:pPr>
      <w:r>
        <w:t>Saving, returns and risk</w:t>
      </w:r>
    </w:p>
    <w:tbl>
      <w:tblPr>
        <w:tblStyle w:val="TableGrid"/>
        <w:tblW w:type="dxa" w:w="9360"/>
        <w:jc w:val="center"/>
        <w:tblLayout w:type="fixed"/>
        <w:tblLook w:firstColumn="1" w:firstRow="1" w:lastColumn="0" w:lastRow="0" w:noHBand="0" w:noVBand="1" w:val="04A0"/>
        <w:tblInd w:w="120" w:type="dxa"/>
      </w:tblPr>
      <w:tblGrid>
        <w:gridCol w:w="1800"/>
        <w:gridCol w:w="4100"/>
        <w:gridCol w:w="3460"/>
      </w:tblGrid>
      <w:tr>
        <w:trPr>
          <w:tblHeader w:val="true"/>
        </w:trPr>
        <w:tc>
          <w:tcPr>
            <w:tcW w:type="dxa" w:w="1800"/>
            <w:tcMar>
              <w:top w:w="90" w:type="dxa"/>
              <w:start w:w="120" w:type="dxa"/>
              <w:bottom w:w="90" w:type="dxa"/>
              <w:end w:w="120" w:type="dxa"/>
            </w:tcMar>
            <w:shd w:fill="24445C"/>
            <w:vAlign w:val="center"/>
          </w:tcPr>
          <w:p>
            <w:pPr>
              <w:spacing w:after="0"/>
            </w:pPr>
            <w:r>
              <w:rPr>
                <w:rFonts w:ascii="Aptos" w:hAnsi="Aptos"/>
                <w:b/>
                <w:i w:val="0"/>
                <w:color w:val="FFFFFF"/>
                <w:sz w:val="18"/>
              </w:rPr>
              <w:t>Term</w:t>
            </w:r>
          </w:p>
        </w:tc>
        <w:tc>
          <w:tcPr>
            <w:tcW w:type="dxa" w:w="4100"/>
            <w:tcMar>
              <w:top w:w="90" w:type="dxa"/>
              <w:start w:w="120" w:type="dxa"/>
              <w:bottom w:w="90" w:type="dxa"/>
              <w:end w:w="120" w:type="dxa"/>
            </w:tcMar>
            <w:shd w:fill="24445C"/>
            <w:vAlign w:val="center"/>
          </w:tcPr>
          <w:p>
            <w:pPr>
              <w:spacing w:after="0"/>
            </w:pPr>
            <w:r>
              <w:rPr>
                <w:rFonts w:ascii="Aptos" w:hAnsi="Aptos"/>
                <w:b/>
                <w:i w:val="0"/>
                <w:color w:val="FFFFFF"/>
                <w:sz w:val="18"/>
              </w:rPr>
              <w:t>Plain meaning</w:t>
            </w:r>
          </w:p>
        </w:tc>
        <w:tc>
          <w:tcPr>
            <w:tcW w:type="dxa" w:w="3460"/>
            <w:tcMar>
              <w:top w:w="90" w:type="dxa"/>
              <w:start w:w="120" w:type="dxa"/>
              <w:bottom w:w="90" w:type="dxa"/>
              <w:end w:w="120" w:type="dxa"/>
            </w:tcMar>
            <w:shd w:fill="24445C"/>
            <w:vAlign w:val="center"/>
          </w:tcPr>
          <w:p>
            <w:pPr>
              <w:spacing w:after="0"/>
            </w:pPr>
            <w:r>
              <w:rPr>
                <w:rFonts w:ascii="Aptos" w:hAnsi="Aptos"/>
                <w:b/>
                <w:i w:val="0"/>
                <w:color w:val="FFFFFF"/>
                <w:sz w:val="18"/>
              </w:rPr>
              <w:t>Do not confuse it with</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Principal</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The original amount deposited, borrowed or invested.</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Interest or profit.</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Interest</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Price paid for borrowing money, or earned on certain savings/lending products.</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A guaranteed real return after inflation and tax.</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Simple interest</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Interest calculated only on the principal.</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Compounding.</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Compound growth</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Returns can earn further returns over time; losses can compound too.</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A promise of steady profit.</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Return</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Gain or loss over a period, often shown as a percentage.</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Cash in hand after tax and charges.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Absolute return</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Total percentage change between start and end.</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Annualised return.</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CAGR</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Smoothed annual growth rate over multiple years; actual yearly returns may vary.</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A guaranteed yearly rate.</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Risk</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Possibility that the outcome differs from what you need, including loss.</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Only market volatility.</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Volatility</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How sharply and frequently a price moves.</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Permanent loss; they are related but not identical.</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Diversification</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Spreading exposure so one holding does not decide the whole result.</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Owning many versions of the same risk.</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Asset allocation</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How money is divided among asset classes such as equity, debt, cash and gold.</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Selecting a single “best” product.</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Risk tolerance</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Emotional and financial ability to accept uncertainty.</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Risk capacity—the loss your plan can actually bear.</w:t>
            </w:r>
          </w:p>
        </w:tc>
      </w:tr>
    </w:tbl>
    <w:p>
      <w:pPr>
        <w:spacing w:after="20"/>
      </w:pPr>
    </w:p>
    <w:p>
      <w:pPr>
        <w:pStyle w:val="Heading1"/>
      </w:pPr>
      <w:r>
        <w:t>Banking and borrowing</w:t>
      </w:r>
    </w:p>
    <w:tbl>
      <w:tblPr>
        <w:tblStyle w:val="TableGrid"/>
        <w:tblW w:type="dxa" w:w="9360"/>
        <w:jc w:val="center"/>
        <w:tblLayout w:type="fixed"/>
        <w:tblLook w:firstColumn="1" w:firstRow="1" w:lastColumn="0" w:lastRow="0" w:noHBand="0" w:noVBand="1" w:val="04A0"/>
        <w:tblInd w:w="120" w:type="dxa"/>
      </w:tblPr>
      <w:tblGrid>
        <w:gridCol w:w="1800"/>
        <w:gridCol w:w="4100"/>
        <w:gridCol w:w="3460"/>
      </w:tblGrid>
      <w:tr>
        <w:trPr>
          <w:tblHeader w:val="true"/>
        </w:trPr>
        <w:tc>
          <w:tcPr>
            <w:tcW w:type="dxa" w:w="1800"/>
            <w:tcMar>
              <w:top w:w="90" w:type="dxa"/>
              <w:start w:w="120" w:type="dxa"/>
              <w:bottom w:w="90" w:type="dxa"/>
              <w:end w:w="120" w:type="dxa"/>
            </w:tcMar>
            <w:shd w:fill="24445C"/>
            <w:vAlign w:val="center"/>
          </w:tcPr>
          <w:p>
            <w:pPr>
              <w:spacing w:after="0"/>
            </w:pPr>
            <w:r>
              <w:rPr>
                <w:rFonts w:ascii="Aptos" w:hAnsi="Aptos"/>
                <w:b/>
                <w:i w:val="0"/>
                <w:color w:val="FFFFFF"/>
                <w:sz w:val="18"/>
              </w:rPr>
              <w:t>Term</w:t>
            </w:r>
          </w:p>
        </w:tc>
        <w:tc>
          <w:tcPr>
            <w:tcW w:type="dxa" w:w="4100"/>
            <w:tcMar>
              <w:top w:w="90" w:type="dxa"/>
              <w:start w:w="120" w:type="dxa"/>
              <w:bottom w:w="90" w:type="dxa"/>
              <w:end w:w="120" w:type="dxa"/>
            </w:tcMar>
            <w:shd w:fill="24445C"/>
            <w:vAlign w:val="center"/>
          </w:tcPr>
          <w:p>
            <w:pPr>
              <w:spacing w:after="0"/>
            </w:pPr>
            <w:r>
              <w:rPr>
                <w:rFonts w:ascii="Aptos" w:hAnsi="Aptos"/>
                <w:b/>
                <w:i w:val="0"/>
                <w:color w:val="FFFFFF"/>
                <w:sz w:val="18"/>
              </w:rPr>
              <w:t>Plain meaning</w:t>
            </w:r>
          </w:p>
        </w:tc>
        <w:tc>
          <w:tcPr>
            <w:tcW w:type="dxa" w:w="3460"/>
            <w:tcMar>
              <w:top w:w="90" w:type="dxa"/>
              <w:start w:w="120" w:type="dxa"/>
              <w:bottom w:w="90" w:type="dxa"/>
              <w:end w:w="120" w:type="dxa"/>
            </w:tcMar>
            <w:shd w:fill="24445C"/>
            <w:vAlign w:val="center"/>
          </w:tcPr>
          <w:p>
            <w:pPr>
              <w:spacing w:after="0"/>
            </w:pPr>
            <w:r>
              <w:rPr>
                <w:rFonts w:ascii="Aptos" w:hAnsi="Aptos"/>
                <w:b/>
                <w:i w:val="0"/>
                <w:color w:val="FFFFFF"/>
                <w:sz w:val="18"/>
              </w:rPr>
              <w:t>Watch for</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Savings account</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Deposit account for transactions and accessible money.</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Minimum balance, fees, interest and fraud controls.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FD / term deposit</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A lump sum placed for a chosen term at an agreed rate.</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Premature closure, tax and reinvestment risk.</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RD</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Regular deposits for a chosen term.</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Missed-instalment and early-closure rules.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EMI</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Regular repayment containing principal and interest.</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A low EMI caused only by a very long tenure.</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Credit score</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A bureau’s summary indicator of credit behaviour.</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Errors or identity misuse; check the report, not only the score.</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Secured loan</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Loan backed by collateral.</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The lender may enforce rights over the asset after default.</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Unsecured loan</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Loan without specific collateral.</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Usually higher interest and fees.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Reducing balance</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Interest calculated on outstanding loan principal.</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A flat rate quoted in a way that looks cheaper.</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APR / effective cost</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Broader annual borrowing cost where disclosed.</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A headline interest rate that excludes charges.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Moratorium</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Temporary permitted pause or reduction in payment.</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Loan forgiveness; interest may continue.</w:t>
            </w:r>
          </w:p>
        </w:tc>
      </w:tr>
    </w:tbl>
    <w:p>
      <w:pPr>
        <w:spacing w:after="20"/>
      </w:pPr>
    </w:p>
    <w:p>
      <w:pPr>
        <w:pStyle w:val="Heading1"/>
      </w:pPr>
      <w:r>
        <w:t>Mutual funds and securities</w:t>
      </w:r>
    </w:p>
    <w:tbl>
      <w:tblPr>
        <w:tblStyle w:val="TableGrid"/>
        <w:tblW w:type="dxa" w:w="9360"/>
        <w:jc w:val="center"/>
        <w:tblLayout w:type="fixed"/>
        <w:tblLook w:firstColumn="1" w:firstRow="1" w:lastColumn="0" w:lastRow="0" w:noHBand="0" w:noVBand="1" w:val="04A0"/>
        <w:tblInd w:w="120" w:type="dxa"/>
      </w:tblPr>
      <w:tblGrid>
        <w:gridCol w:w="1800"/>
        <w:gridCol w:w="4100"/>
        <w:gridCol w:w="3460"/>
      </w:tblGrid>
      <w:tr>
        <w:trPr>
          <w:tblHeader w:val="true"/>
        </w:trPr>
        <w:tc>
          <w:tcPr>
            <w:tcW w:type="dxa" w:w="1800"/>
            <w:tcMar>
              <w:top w:w="90" w:type="dxa"/>
              <w:start w:w="120" w:type="dxa"/>
              <w:bottom w:w="90" w:type="dxa"/>
              <w:end w:w="120" w:type="dxa"/>
            </w:tcMar>
            <w:shd w:fill="24445C"/>
            <w:vAlign w:val="center"/>
          </w:tcPr>
          <w:p>
            <w:pPr>
              <w:spacing w:after="0"/>
            </w:pPr>
            <w:r>
              <w:rPr>
                <w:rFonts w:ascii="Aptos" w:hAnsi="Aptos"/>
                <w:b/>
                <w:i w:val="0"/>
                <w:color w:val="FFFFFF"/>
                <w:sz w:val="18"/>
              </w:rPr>
              <w:t>Term</w:t>
            </w:r>
          </w:p>
        </w:tc>
        <w:tc>
          <w:tcPr>
            <w:tcW w:type="dxa" w:w="4100"/>
            <w:tcMar>
              <w:top w:w="90" w:type="dxa"/>
              <w:start w:w="120" w:type="dxa"/>
              <w:bottom w:w="90" w:type="dxa"/>
              <w:end w:w="120" w:type="dxa"/>
            </w:tcMar>
            <w:shd w:fill="24445C"/>
            <w:vAlign w:val="center"/>
          </w:tcPr>
          <w:p>
            <w:pPr>
              <w:spacing w:after="0"/>
            </w:pPr>
            <w:r>
              <w:rPr>
                <w:rFonts w:ascii="Aptos" w:hAnsi="Aptos"/>
                <w:b/>
                <w:i w:val="0"/>
                <w:color w:val="FFFFFF"/>
                <w:sz w:val="18"/>
              </w:rPr>
              <w:t>Plain meaning</w:t>
            </w:r>
          </w:p>
        </w:tc>
        <w:tc>
          <w:tcPr>
            <w:tcW w:type="dxa" w:w="3460"/>
            <w:tcMar>
              <w:top w:w="90" w:type="dxa"/>
              <w:start w:w="120" w:type="dxa"/>
              <w:bottom w:w="90" w:type="dxa"/>
              <w:end w:w="120" w:type="dxa"/>
            </w:tcMar>
            <w:shd w:fill="24445C"/>
            <w:vAlign w:val="center"/>
          </w:tcPr>
          <w:p>
            <w:pPr>
              <w:spacing w:after="0"/>
            </w:pPr>
            <w:r>
              <w:rPr>
                <w:rFonts w:ascii="Aptos" w:hAnsi="Aptos"/>
                <w:b/>
                <w:i w:val="0"/>
                <w:color w:val="FFFFFF"/>
                <w:sz w:val="18"/>
              </w:rPr>
              <w:t>A useful question</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5"/>
              </w:rPr>
              <w:t>Equity</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5"/>
              </w:rPr>
              <w:t>Ownership interest in a company.</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5"/>
              </w:rPr>
              <w:t>Can I accept a substantial fall?</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Debt security / bond</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Money lent to an issuer under stated terms.</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Who owes me, and can they repay?</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5"/>
              </w:rPr>
              <w:t>Mutual fund</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5"/>
              </w:rPr>
              <w:t>Pooled portfolio managed to a stated objective.</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5"/>
              </w:rPr>
              <w:t>What does the scheme own and what is its riskometer?</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NAV</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Per-unit value of a mutual fund’s net assets.</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Am I wrongly treating a low NAV as “cheap”?</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5"/>
              </w:rPr>
              <w:t>SIP</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5"/>
              </w:rPr>
              <w:t>Method of investing a chosen amount regularly.</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5"/>
              </w:rPr>
              <w:t>Can I continue comfortably through market falls?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Expense ratio</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Recurring fund operating cost charged to the scheme.</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What do I receive for the cost?</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5"/>
              </w:rPr>
              <w:t>Exit load</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5"/>
              </w:rPr>
              <w:t>Charge that may apply when redeeming within a stated period.</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5"/>
              </w:rPr>
              <w:t>When does it stop applying?</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Direct plan</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Mutual-fund plan without distributor commission.</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Do I have the knowledge or regulated advice needed?</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5"/>
              </w:rPr>
              <w:t>Regular plan</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5"/>
              </w:rPr>
              <w:t>Plan bought through a distributor, with distribution cost in expenses.</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5"/>
              </w:rPr>
              <w:t>What service am I receiving and paying for?</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Growth option</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Returns remain invested in the scheme.</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Does it match my need for accumulation?</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5"/>
              </w:rPr>
              <w:t>IDCW</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5"/>
              </w:rPr>
              <w:t>Distributions subject to availability and rules; not guaranteed interest.</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5"/>
              </w:rPr>
              <w:t>Am I mistaking my own investment value for “extra” income?</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Index fund</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Fund designed to track a stated index.</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What index, cost and tracking difference?</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5"/>
              </w:rPr>
              <w:t>ETF</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5"/>
              </w:rPr>
              <w:t>Fund units traded on an exchange.</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5"/>
              </w:rPr>
              <w:t>What are brokerage, spread, liquidity and demat costs?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Market capitalisation</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Market value of a company’s equity.</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How concentrated is my exposure by company size?</w:t>
            </w:r>
          </w:p>
        </w:tc>
      </w:tr>
    </w:tbl>
    <w:p>
      <w:pPr>
        <w:spacing w:after="20"/>
      </w:pPr>
    </w:p>
    <w:p>
      <w:pPr>
        <w:pStyle w:val="Heading1"/>
      </w:pPr>
      <w:r>
        <w:t>Insurance and family protection</w:t>
      </w:r>
    </w:p>
    <w:tbl>
      <w:tblPr>
        <w:tblStyle w:val="TableGrid"/>
        <w:tblW w:type="dxa" w:w="9360"/>
        <w:jc w:val="center"/>
        <w:tblLayout w:type="fixed"/>
        <w:tblLook w:firstColumn="1" w:firstRow="1" w:lastColumn="0" w:lastRow="0" w:noHBand="0" w:noVBand="1" w:val="04A0"/>
        <w:tblInd w:w="120" w:type="dxa"/>
      </w:tblPr>
      <w:tblGrid>
        <w:gridCol w:w="1800"/>
        <w:gridCol w:w="4100"/>
        <w:gridCol w:w="3460"/>
      </w:tblGrid>
      <w:tr>
        <w:trPr>
          <w:tblHeader w:val="true"/>
        </w:trPr>
        <w:tc>
          <w:tcPr>
            <w:tcW w:type="dxa" w:w="1800"/>
            <w:tcMar>
              <w:top w:w="90" w:type="dxa"/>
              <w:start w:w="120" w:type="dxa"/>
              <w:bottom w:w="90" w:type="dxa"/>
              <w:end w:w="120" w:type="dxa"/>
            </w:tcMar>
            <w:shd w:fill="24445C"/>
            <w:vAlign w:val="center"/>
          </w:tcPr>
          <w:p>
            <w:pPr>
              <w:spacing w:after="0"/>
            </w:pPr>
            <w:r>
              <w:rPr>
                <w:rFonts w:ascii="Aptos" w:hAnsi="Aptos"/>
                <w:b/>
                <w:i w:val="0"/>
                <w:color w:val="FFFFFF"/>
                <w:sz w:val="18"/>
              </w:rPr>
              <w:t>Term</w:t>
            </w:r>
          </w:p>
        </w:tc>
        <w:tc>
          <w:tcPr>
            <w:tcW w:type="dxa" w:w="4100"/>
            <w:tcMar>
              <w:top w:w="90" w:type="dxa"/>
              <w:start w:w="120" w:type="dxa"/>
              <w:bottom w:w="90" w:type="dxa"/>
              <w:end w:w="120" w:type="dxa"/>
            </w:tcMar>
            <w:shd w:fill="24445C"/>
            <w:vAlign w:val="center"/>
          </w:tcPr>
          <w:p>
            <w:pPr>
              <w:spacing w:after="0"/>
            </w:pPr>
            <w:r>
              <w:rPr>
                <w:rFonts w:ascii="Aptos" w:hAnsi="Aptos"/>
                <w:b/>
                <w:i w:val="0"/>
                <w:color w:val="FFFFFF"/>
                <w:sz w:val="18"/>
              </w:rPr>
              <w:t>Plain meaning</w:t>
            </w:r>
          </w:p>
        </w:tc>
        <w:tc>
          <w:tcPr>
            <w:tcW w:type="dxa" w:w="3460"/>
            <w:tcMar>
              <w:top w:w="90" w:type="dxa"/>
              <w:start w:w="120" w:type="dxa"/>
              <w:bottom w:w="90" w:type="dxa"/>
              <w:end w:w="120" w:type="dxa"/>
            </w:tcMar>
            <w:shd w:fill="24445C"/>
            <w:vAlign w:val="center"/>
          </w:tcPr>
          <w:p>
            <w:pPr>
              <w:spacing w:after="0"/>
            </w:pPr>
            <w:r>
              <w:rPr>
                <w:rFonts w:ascii="Aptos" w:hAnsi="Aptos"/>
                <w:b/>
                <w:i w:val="0"/>
                <w:color w:val="FFFFFF"/>
                <w:sz w:val="18"/>
              </w:rPr>
              <w:t>Check carefully</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Premium</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Amount paid for insurance cover.</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Frequency, due date and consequences of non-payment.</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Sum insured</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Maximum cover under specified policy terms.</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Sub-limits, exclusions and restoration rules.</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Term life insurance</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Life cover for a period, primarily for protection.</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Claim conditions, disclosures, nominee and adequate cover.</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Waiting period</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Time during which specified claims are not covered.</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Which condition has which waiting period?</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Exclusion</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Event or condition the policy does not cover.</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Read the wording, not only the brochure.</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Co-payment</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Share of an eligible claim paid by the insured.</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Whether it applies by age, treatment or hospital.</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Deductible</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Amount borne before the insurer pays under the policy terms.</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Per claim or annual?</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Cashless claim</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Eligible treatment settled with a network provider under approval rules.</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Cashless does not mean every cost is covered.</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Nominee</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Person named to receive or handle proceeds under applicable rules.</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Nomination may not always settle legal ownership.</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Will</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Legal document stating how an estate should be handled after death.</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Execution, witnesses and current legal advice.</w:t>
            </w:r>
          </w:p>
        </w:tc>
      </w:tr>
    </w:tbl>
    <w:p>
      <w:pPr>
        <w:spacing w:after="20"/>
      </w:pPr>
    </w:p>
    <w:p>
      <w:pPr>
        <w:pStyle w:val="Heading1"/>
      </w:pPr>
      <w:r>
        <w:t>Tax and retirement</w:t>
      </w:r>
    </w:p>
    <w:tbl>
      <w:tblPr>
        <w:tblStyle w:val="TableGrid"/>
        <w:tblW w:type="dxa" w:w="9360"/>
        <w:jc w:val="center"/>
        <w:tblLayout w:type="fixed"/>
        <w:tblLook w:firstColumn="1" w:firstRow="1" w:lastColumn="0" w:lastRow="0" w:noHBand="0" w:noVBand="1" w:val="04A0"/>
        <w:tblInd w:w="120" w:type="dxa"/>
      </w:tblPr>
      <w:tblGrid>
        <w:gridCol w:w="1800"/>
        <w:gridCol w:w="4100"/>
        <w:gridCol w:w="3460"/>
      </w:tblGrid>
      <w:tr>
        <w:trPr>
          <w:tblHeader w:val="true"/>
        </w:trPr>
        <w:tc>
          <w:tcPr>
            <w:tcW w:type="dxa" w:w="1800"/>
            <w:tcMar>
              <w:top w:w="90" w:type="dxa"/>
              <w:start w:w="120" w:type="dxa"/>
              <w:bottom w:w="90" w:type="dxa"/>
              <w:end w:w="120" w:type="dxa"/>
            </w:tcMar>
            <w:shd w:fill="24445C"/>
            <w:vAlign w:val="center"/>
          </w:tcPr>
          <w:p>
            <w:pPr>
              <w:spacing w:after="0"/>
            </w:pPr>
            <w:r>
              <w:rPr>
                <w:rFonts w:ascii="Aptos" w:hAnsi="Aptos"/>
                <w:b/>
                <w:i w:val="0"/>
                <w:color w:val="FFFFFF"/>
                <w:sz w:val="18"/>
              </w:rPr>
              <w:t>Term</w:t>
            </w:r>
          </w:p>
        </w:tc>
        <w:tc>
          <w:tcPr>
            <w:tcW w:type="dxa" w:w="4100"/>
            <w:tcMar>
              <w:top w:w="90" w:type="dxa"/>
              <w:start w:w="120" w:type="dxa"/>
              <w:bottom w:w="90" w:type="dxa"/>
              <w:end w:w="120" w:type="dxa"/>
            </w:tcMar>
            <w:shd w:fill="24445C"/>
            <w:vAlign w:val="center"/>
          </w:tcPr>
          <w:p>
            <w:pPr>
              <w:spacing w:after="0"/>
            </w:pPr>
            <w:r>
              <w:rPr>
                <w:rFonts w:ascii="Aptos" w:hAnsi="Aptos"/>
                <w:b/>
                <w:i w:val="0"/>
                <w:color w:val="FFFFFF"/>
                <w:sz w:val="18"/>
              </w:rPr>
              <w:t>Plain meaning</w:t>
            </w:r>
          </w:p>
        </w:tc>
        <w:tc>
          <w:tcPr>
            <w:tcW w:type="dxa" w:w="3460"/>
            <w:tcMar>
              <w:top w:w="90" w:type="dxa"/>
              <w:start w:w="120" w:type="dxa"/>
              <w:bottom w:w="90" w:type="dxa"/>
              <w:end w:w="120" w:type="dxa"/>
            </w:tcMar>
            <w:shd w:fill="24445C"/>
            <w:vAlign w:val="center"/>
          </w:tcPr>
          <w:p>
            <w:pPr>
              <w:spacing w:after="0"/>
            </w:pPr>
            <w:r>
              <w:rPr>
                <w:rFonts w:ascii="Aptos" w:hAnsi="Aptos"/>
                <w:b/>
                <w:i w:val="0"/>
                <w:color w:val="FFFFFF"/>
                <w:sz w:val="18"/>
              </w:rPr>
              <w:t>Remember</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Gross income</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Income before permitted deductions and adjustments.</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It is not always taxable income.</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Taxable income</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Income on which tax is computed after applicable rules.</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Special-rate income may be treated differently.</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Deduction</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Permitted amount reducing taxable income.</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It is not a rupee-for-rupee refund.</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Exemption</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Income or allowance excluded under specified conditions.</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Availability differs by tax regime.</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Rebate</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Reduction from calculated tax subject to conditions.</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It is not the same as a nil slab.</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TDS</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Tax deducted by payer and credited against PAN.</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It may be more or less than final liability.</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Capital gain</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Taxable gain determined when an asset is transferred under the rules.</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App profit is not necessarily taxable gain.</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Pension</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Periodic retirement income under scheme/contract rules.</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Whether it is guaranteed, market-linked or inflation-adjusted.</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Annuity</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Contract that converts money into periodic payments.</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Rate, options, tax and what happens after death.</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Vesting / maturity</w:t>
            </w:r>
          </w:p>
        </w:tc>
        <w:tc>
          <w:tcPr>
            <w:tcW w:type="dxa" w:w="4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Point when specified benefit or value becomes available under rules.</w:t>
            </w:r>
          </w:p>
        </w:tc>
        <w:tc>
          <w:tcPr>
            <w:tcW w:type="dxa" w:w="3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Access conditions and tax can differ.</w:t>
            </w:r>
          </w:p>
        </w:tc>
      </w:tr>
      <w:tr>
        <w:tc>
          <w:tcPr>
            <w:tcW w:type="dxa" w:w="1800"/>
            <w:tcMar>
              <w:top w:w="90" w:type="dxa"/>
              <w:start w:w="120" w:type="dxa"/>
              <w:bottom w:w="90" w:type="dxa"/>
              <w:end w:w="120" w:type="dxa"/>
            </w:tcMar>
            <w:vAlign w:val="center"/>
          </w:tcPr>
          <w:p>
            <w:pPr>
              <w:spacing w:after="0" w:line="252" w:lineRule="auto"/>
            </w:pPr>
            <w:r>
              <w:rPr>
                <w:rFonts w:ascii="Aptos" w:hAnsi="Aptos"/>
                <w:b w:val="0"/>
                <w:i w:val="0"/>
                <w:color w:val="24323D"/>
                <w:sz w:val="16"/>
              </w:rPr>
              <w:t>Corpus</w:t>
            </w:r>
          </w:p>
        </w:tc>
        <w:tc>
          <w:tcPr>
            <w:tcW w:type="dxa" w:w="4100"/>
            <w:tcMar>
              <w:top w:w="90" w:type="dxa"/>
              <w:start w:w="120" w:type="dxa"/>
              <w:bottom w:w="90" w:type="dxa"/>
              <w:end w:w="120" w:type="dxa"/>
            </w:tcMar>
            <w:vAlign w:val="center"/>
          </w:tcPr>
          <w:p>
            <w:pPr>
              <w:spacing w:after="0" w:line="252" w:lineRule="auto"/>
            </w:pPr>
            <w:r>
              <w:rPr>
                <w:rFonts w:ascii="Aptos" w:hAnsi="Aptos"/>
                <w:b w:val="0"/>
                <w:i w:val="0"/>
                <w:color w:val="24323D"/>
                <w:sz w:val="16"/>
              </w:rPr>
              <w:t>Accumulated pool of money for a goal.</w:t>
            </w:r>
          </w:p>
        </w:tc>
        <w:tc>
          <w:tcPr>
            <w:tcW w:type="dxa" w:w="3460"/>
            <w:tcMar>
              <w:top w:w="90" w:type="dxa"/>
              <w:start w:w="120" w:type="dxa"/>
              <w:bottom w:w="90" w:type="dxa"/>
              <w:end w:w="120" w:type="dxa"/>
            </w:tcMar>
            <w:vAlign w:val="center"/>
          </w:tcPr>
          <w:p>
            <w:pPr>
              <w:spacing w:after="0" w:line="252" w:lineRule="auto"/>
            </w:pPr>
            <w:r>
              <w:rPr>
                <w:rFonts w:ascii="Aptos" w:hAnsi="Aptos"/>
                <w:b w:val="0"/>
                <w:i w:val="0"/>
                <w:color w:val="24323D"/>
                <w:sz w:val="16"/>
              </w:rPr>
              <w:t>A large number is not meaningful without the goal and time.</w:t>
            </w:r>
          </w:p>
        </w:tc>
      </w:tr>
    </w:tbl>
    <w:p>
      <w:pPr>
        <w:spacing w:after="20"/>
      </w:pPr>
    </w:p>
    <w:p>
      <w:pPr>
        <w:pStyle w:val="Heading1"/>
      </w:pPr>
      <w:r>
        <w:t>Words that deserve an immediate follow-up question</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tcMar>
              <w:top w:w="90" w:type="dxa"/>
              <w:start w:w="120" w:type="dxa"/>
              <w:bottom w:w="90" w:type="dxa"/>
              <w:end w:w="120" w:type="dxa"/>
            </w:tcMar>
            <w:shd w:fill="24445C"/>
            <w:vAlign w:val="center"/>
          </w:tcPr>
          <w:p>
            <w:pPr>
              <w:spacing w:after="0"/>
            </w:pPr>
            <w:r>
              <w:rPr>
                <w:rFonts w:ascii="Aptos" w:hAnsi="Aptos"/>
                <w:b/>
                <w:i w:val="0"/>
                <w:color w:val="FFFFFF"/>
                <w:sz w:val="18"/>
              </w:rPr>
              <w:t>If someone says…</w:t>
            </w:r>
          </w:p>
        </w:tc>
        <w:tc>
          <w:tcPr>
            <w:tcW w:type="dxa" w:w="6760"/>
            <w:tcMar>
              <w:top w:w="90" w:type="dxa"/>
              <w:start w:w="120" w:type="dxa"/>
              <w:bottom w:w="90" w:type="dxa"/>
              <w:end w:w="120" w:type="dxa"/>
            </w:tcMar>
            <w:shd w:fill="24445C"/>
            <w:vAlign w:val="center"/>
          </w:tcPr>
          <w:p>
            <w:pPr>
              <w:spacing w:after="0"/>
            </w:pPr>
            <w:r>
              <w:rPr>
                <w:rFonts w:ascii="Aptos" w:hAnsi="Aptos"/>
                <w:b/>
                <w:i w:val="0"/>
                <w:color w:val="FFFFFF"/>
                <w:sz w:val="18"/>
              </w:rPr>
              <w:t>Ask…</w:t>
            </w:r>
          </w:p>
        </w:tc>
      </w:tr>
      <w:tr>
        <w:tc>
          <w:tcPr>
            <w:tcW w:type="dxa" w:w="2600"/>
            <w:tcMar>
              <w:top w:w="90" w:type="dxa"/>
              <w:start w:w="120" w:type="dxa"/>
              <w:bottom w:w="90" w:type="dxa"/>
              <w:end w:w="120" w:type="dxa"/>
            </w:tcMar>
            <w:vAlign w:val="center"/>
          </w:tcPr>
          <w:p>
            <w:pPr>
              <w:spacing w:after="0" w:line="252" w:lineRule="auto"/>
            </w:pPr>
            <w:r>
              <w:rPr>
                <w:rFonts w:ascii="Aptos" w:hAnsi="Aptos"/>
                <w:b w:val="0"/>
                <w:i w:val="0"/>
                <w:color w:val="24323D"/>
                <w:sz w:val="17"/>
              </w:rPr>
              <w:t>“Guaranteed”</w:t>
            </w:r>
          </w:p>
        </w:tc>
        <w:tc>
          <w:tcPr>
            <w:tcW w:type="dxa" w:w="6760"/>
            <w:tcMar>
              <w:top w:w="90" w:type="dxa"/>
              <w:start w:w="120" w:type="dxa"/>
              <w:bottom w:w="90" w:type="dxa"/>
              <w:end w:w="120" w:type="dxa"/>
            </w:tcMar>
            <w:vAlign w:val="center"/>
          </w:tcPr>
          <w:p>
            <w:pPr>
              <w:spacing w:after="0" w:line="252" w:lineRule="auto"/>
            </w:pPr>
            <w:r>
              <w:rPr>
                <w:rFonts w:ascii="Aptos" w:hAnsi="Aptos"/>
                <w:b w:val="0"/>
                <w:i w:val="0"/>
                <w:color w:val="24323D"/>
                <w:sz w:val="17"/>
              </w:rPr>
              <w:t>Guaranteed by whom, under which written clause, and what risks remain?</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“Safe”</w:t>
            </w:r>
          </w:p>
        </w:tc>
        <w:tc>
          <w:tcPr>
            <w:tcW w:type="dxa" w:w="67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Safe from market loss, default, fraud, inflation or lack of access?</w:t>
            </w:r>
          </w:p>
        </w:tc>
      </w:tr>
      <w:tr>
        <w:tc>
          <w:tcPr>
            <w:tcW w:type="dxa" w:w="2600"/>
            <w:tcMar>
              <w:top w:w="90" w:type="dxa"/>
              <w:start w:w="120" w:type="dxa"/>
              <w:bottom w:w="90" w:type="dxa"/>
              <w:end w:w="120" w:type="dxa"/>
            </w:tcMar>
            <w:vAlign w:val="center"/>
          </w:tcPr>
          <w:p>
            <w:pPr>
              <w:spacing w:after="0" w:line="252" w:lineRule="auto"/>
            </w:pPr>
            <w:r>
              <w:rPr>
                <w:rFonts w:ascii="Aptos" w:hAnsi="Aptos"/>
                <w:b w:val="0"/>
                <w:i w:val="0"/>
                <w:color w:val="24323D"/>
                <w:sz w:val="17"/>
              </w:rPr>
              <w:t>“Tax-free”</w:t>
            </w:r>
          </w:p>
        </w:tc>
        <w:tc>
          <w:tcPr>
            <w:tcW w:type="dxa" w:w="6760"/>
            <w:tcMar>
              <w:top w:w="90" w:type="dxa"/>
              <w:start w:w="120" w:type="dxa"/>
              <w:bottom w:w="90" w:type="dxa"/>
              <w:end w:w="120" w:type="dxa"/>
            </w:tcMar>
            <w:vAlign w:val="center"/>
          </w:tcPr>
          <w:p>
            <w:pPr>
              <w:spacing w:after="0" w:line="252" w:lineRule="auto"/>
            </w:pPr>
            <w:r>
              <w:rPr>
                <w:rFonts w:ascii="Aptos" w:hAnsi="Aptos"/>
                <w:b w:val="0"/>
                <w:i w:val="0"/>
                <w:color w:val="24323D"/>
                <w:sz w:val="17"/>
              </w:rPr>
              <w:t>Which part is tax-free, under which law and tax regime, and at what stage?</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“No cost”</w:t>
            </w:r>
          </w:p>
        </w:tc>
        <w:tc>
          <w:tcPr>
            <w:tcW w:type="dxa" w:w="67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Are there embedded commissions, spreads, penalties or opportunity costs?</w:t>
            </w:r>
          </w:p>
        </w:tc>
      </w:tr>
      <w:tr>
        <w:tc>
          <w:tcPr>
            <w:tcW w:type="dxa" w:w="2600"/>
            <w:tcMar>
              <w:top w:w="90" w:type="dxa"/>
              <w:start w:w="120" w:type="dxa"/>
              <w:bottom w:w="90" w:type="dxa"/>
              <w:end w:w="120" w:type="dxa"/>
            </w:tcMar>
            <w:vAlign w:val="center"/>
          </w:tcPr>
          <w:p>
            <w:pPr>
              <w:spacing w:after="0" w:line="252" w:lineRule="auto"/>
            </w:pPr>
            <w:r>
              <w:rPr>
                <w:rFonts w:ascii="Aptos" w:hAnsi="Aptos"/>
                <w:b w:val="0"/>
                <w:i w:val="0"/>
                <w:color w:val="24323D"/>
                <w:sz w:val="17"/>
              </w:rPr>
              <w:t>“High return”</w:t>
            </w:r>
          </w:p>
        </w:tc>
        <w:tc>
          <w:tcPr>
            <w:tcW w:type="dxa" w:w="6760"/>
            <w:tcMar>
              <w:top w:w="90" w:type="dxa"/>
              <w:start w:w="120" w:type="dxa"/>
              <w:bottom w:w="90" w:type="dxa"/>
              <w:end w:w="120" w:type="dxa"/>
            </w:tcMar>
            <w:vAlign w:val="center"/>
          </w:tcPr>
          <w:p>
            <w:pPr>
              <w:spacing w:after="0" w:line="252" w:lineRule="auto"/>
            </w:pPr>
            <w:r>
              <w:rPr>
                <w:rFonts w:ascii="Aptos" w:hAnsi="Aptos"/>
                <w:b w:val="0"/>
                <w:i w:val="0"/>
                <w:color w:val="24323D"/>
                <w:sz w:val="17"/>
              </w:rPr>
              <w:t>Over what period, before or after fees and tax, and with what maximum fall?</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“Government approved”</w:t>
            </w:r>
          </w:p>
        </w:tc>
        <w:tc>
          <w:tcPr>
            <w:tcW w:type="dxa" w:w="67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Which regulator or notification, and does approval guarantee return?</w:t>
            </w:r>
          </w:p>
        </w:tc>
      </w:tr>
      <w:tr>
        <w:tc>
          <w:tcPr>
            <w:tcW w:type="dxa" w:w="2600"/>
            <w:tcMar>
              <w:top w:w="90" w:type="dxa"/>
              <w:start w:w="120" w:type="dxa"/>
              <w:bottom w:w="90" w:type="dxa"/>
              <w:end w:w="120" w:type="dxa"/>
            </w:tcMar>
            <w:vAlign w:val="center"/>
          </w:tcPr>
          <w:p>
            <w:pPr>
              <w:spacing w:after="0" w:line="252" w:lineRule="auto"/>
            </w:pPr>
            <w:r>
              <w:rPr>
                <w:rFonts w:ascii="Aptos" w:hAnsi="Aptos"/>
                <w:b w:val="0"/>
                <w:i w:val="0"/>
                <w:color w:val="24323D"/>
                <w:sz w:val="17"/>
              </w:rPr>
              <w:t>“Best plan”</w:t>
            </w:r>
          </w:p>
        </w:tc>
        <w:tc>
          <w:tcPr>
            <w:tcW w:type="dxa" w:w="6760"/>
            <w:tcMar>
              <w:top w:w="90" w:type="dxa"/>
              <w:start w:w="120" w:type="dxa"/>
              <w:bottom w:w="90" w:type="dxa"/>
              <w:end w:w="120" w:type="dxa"/>
            </w:tcMar>
            <w:vAlign w:val="center"/>
          </w:tcPr>
          <w:p>
            <w:pPr>
              <w:spacing w:after="0" w:line="252" w:lineRule="auto"/>
            </w:pPr>
            <w:r>
              <w:rPr>
                <w:rFonts w:ascii="Aptos" w:hAnsi="Aptos"/>
                <w:b w:val="0"/>
                <w:i w:val="0"/>
                <w:color w:val="24323D"/>
                <w:sz w:val="17"/>
              </w:rPr>
              <w:t>Best for which goal, horizon, liquidity need and risk capacity?</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Financial language should make a decision clearer. If a term is being used to hurry, impress or silence you, ask for a plain-language explanation and written evidence.</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Circle five terms you have seen in your own statements or policies. Explain each one aloud without looking. Wherever you hesitate, write one question to ask the bank, insurer, adviser or official helpline.</w:t>
            </w:r>
          </w:p>
        </w:tc>
      </w:tr>
    </w:tbl>
    <w:p>
      <w:pPr>
        <w:spacing w:after="20"/>
      </w:pPr>
    </w:p>
    <w:p>
      <w:r>
        <w:br w:type="page"/>
      </w:r>
    </w:p>
    <w:p>
      <w:pPr>
        <w:pStyle w:val="MVKicker"/>
        <w:widowControl/>
      </w:pPr>
      <w:r>
        <w:rPr>
          <w:rFonts w:ascii="Aptos" w:hAnsi="Aptos"/>
          <w:b w:val="0"/>
          <w:i w:val="0"/>
          <w:color w:val="24323D"/>
          <w:sz w:val="21"/>
        </w:rPr>
        <w:t>CHAPTER 21</w:t>
      </w:r>
    </w:p>
    <w:p>
      <w:pPr>
        <w:pStyle w:val="Title"/>
      </w:pPr>
      <w:r>
        <w:t>Your Annual Financial Planner</w:t>
      </w:r>
    </w:p>
    <w:p>
      <w:pPr>
        <w:pStyle w:val="MVQuote"/>
        <w:widowControl/>
      </w:pPr>
      <w:r>
        <w:rPr>
          <w:rFonts w:ascii="Aptos" w:hAnsi="Aptos"/>
          <w:b w:val="0"/>
          <w:i/>
          <w:color w:val="24323D"/>
          <w:sz w:val="21"/>
        </w:rPr>
        <w:t>“A good financial system should make life calmer, not give you another subject to feel guilty about.”</w:t>
      </w:r>
    </w:p>
    <w:p>
      <w:pPr>
        <w:widowControl/>
      </w:pPr>
      <w:r>
        <w:rPr>
          <w:rFonts w:ascii="Aptos" w:hAnsi="Aptos"/>
          <w:b w:val="0"/>
          <w:i w:val="0"/>
          <w:color w:val="24323D"/>
          <w:sz w:val="21"/>
        </w:rPr>
        <w:t>Leela used to keep financial tasks in her head: renew the insurance, check the school fund, find the old FD, update the nominee. Each task was small, but together they created a quiet background worry.</w:t>
      </w:r>
    </w:p>
    <w:p>
      <w:pPr>
        <w:widowControl/>
      </w:pPr>
      <w:r>
        <w:rPr>
          <w:rFonts w:ascii="Aptos" w:hAnsi="Aptos"/>
          <w:b w:val="0"/>
          <w:i w:val="0"/>
          <w:color w:val="24323D"/>
          <w:sz w:val="21"/>
        </w:rPr>
        <w:t>Then she chose one Sunday every year as her Family Financial Review Day. She did not solve everything. She gathered the facts, chose three priorities and put the next dates in her calendar. This planner is designed to help you do the same.</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HOW TO USE THESE PAGES</w:t>
            </w:r>
          </w:p>
          <w:p>
            <w:pPr>
              <w:spacing w:after="0"/>
            </w:pPr>
            <w:r>
              <w:rPr>
                <w:rFonts w:ascii="Aptos" w:hAnsi="Aptos"/>
                <w:b w:val="0"/>
                <w:i w:val="0"/>
                <w:color w:val="24323D"/>
                <w:sz w:val="20"/>
              </w:rPr>
              <w:t>Complete what you know. Write “to find” where information is missing. Do not place passwords, PINs, OTPs or full card security details in this planner. Store the finished copy securely and tell one trusted adult where it is kept.</w:t>
            </w:r>
          </w:p>
        </w:tc>
      </w:tr>
    </w:tbl>
    <w:p>
      <w:pPr>
        <w:spacing w:after="20"/>
      </w:pPr>
    </w:p>
    <w:p>
      <w:pPr>
        <w:pStyle w:val="Heading1"/>
      </w:pPr>
      <w:r>
        <w:t>1. My financial confidence snapshot</w:t>
      </w:r>
    </w:p>
    <w:tbl>
      <w:tblPr>
        <w:tblStyle w:val="TableGrid"/>
        <w:tblW w:type="dxa" w:w="9360"/>
        <w:jc w:val="center"/>
        <w:tblLayout w:type="fixed"/>
        <w:tblLook w:firstColumn="1" w:firstRow="1" w:lastColumn="0" w:lastRow="0" w:noHBand="0" w:noVBand="1" w:val="04A0"/>
        <w:tblInd w:w="120" w:type="dxa"/>
      </w:tblPr>
      <w:tblGrid>
        <w:gridCol w:w="5100"/>
        <w:gridCol w:w="700"/>
        <w:gridCol w:w="900"/>
        <w:gridCol w:w="2660"/>
      </w:tblGrid>
      <w:tr>
        <w:trPr>
          <w:tblHeader w:val="true"/>
        </w:trPr>
        <w:tc>
          <w:tcPr>
            <w:tcW w:type="dxa" w:w="5100"/>
            <w:tcMar>
              <w:top w:w="90" w:type="dxa"/>
              <w:start w:w="120" w:type="dxa"/>
              <w:bottom w:w="90" w:type="dxa"/>
              <w:end w:w="120" w:type="dxa"/>
            </w:tcMar>
            <w:shd w:fill="24445C"/>
            <w:vAlign w:val="center"/>
          </w:tcPr>
          <w:p>
            <w:pPr>
              <w:spacing w:after="0"/>
            </w:pPr>
            <w:r>
              <w:rPr>
                <w:rFonts w:ascii="Aptos" w:hAnsi="Aptos"/>
                <w:b/>
                <w:i w:val="0"/>
                <w:color w:val="FFFFFF"/>
                <w:sz w:val="18"/>
              </w:rPr>
              <w:t>Statement</w:t>
            </w:r>
          </w:p>
        </w:tc>
        <w:tc>
          <w:tcPr>
            <w:tcW w:type="dxa" w:w="700"/>
            <w:tcMar>
              <w:top w:w="90" w:type="dxa"/>
              <w:start w:w="120" w:type="dxa"/>
              <w:bottom w:w="90" w:type="dxa"/>
              <w:end w:w="120" w:type="dxa"/>
            </w:tcMar>
            <w:shd w:fill="24445C"/>
            <w:vAlign w:val="center"/>
          </w:tcPr>
          <w:p>
            <w:pPr>
              <w:spacing w:after="0"/>
            </w:pPr>
            <w:r>
              <w:rPr>
                <w:rFonts w:ascii="Aptos" w:hAnsi="Aptos"/>
                <w:b/>
                <w:i w:val="0"/>
                <w:color w:val="FFFFFF"/>
                <w:sz w:val="18"/>
              </w:rPr>
              <w:t>Yes</w:t>
            </w:r>
          </w:p>
        </w:tc>
        <w:tc>
          <w:tcPr>
            <w:tcW w:type="dxa" w:w="900"/>
            <w:tcMar>
              <w:top w:w="90" w:type="dxa"/>
              <w:start w:w="120" w:type="dxa"/>
              <w:bottom w:w="90" w:type="dxa"/>
              <w:end w:w="120" w:type="dxa"/>
            </w:tcMar>
            <w:shd w:fill="24445C"/>
            <w:vAlign w:val="center"/>
          </w:tcPr>
          <w:p>
            <w:pPr>
              <w:spacing w:after="0"/>
            </w:pPr>
            <w:r>
              <w:rPr>
                <w:rFonts w:ascii="Aptos" w:hAnsi="Aptos"/>
                <w:b/>
                <w:i w:val="0"/>
                <w:color w:val="FFFFFF"/>
                <w:sz w:val="18"/>
              </w:rPr>
              <w:t>Not yet</w:t>
            </w:r>
          </w:p>
        </w:tc>
        <w:tc>
          <w:tcPr>
            <w:tcW w:type="dxa" w:w="2660"/>
            <w:tcMar>
              <w:top w:w="90" w:type="dxa"/>
              <w:start w:w="120" w:type="dxa"/>
              <w:bottom w:w="90" w:type="dxa"/>
              <w:end w:w="120" w:type="dxa"/>
            </w:tcMar>
            <w:shd w:fill="24445C"/>
            <w:vAlign w:val="center"/>
          </w:tcPr>
          <w:p>
            <w:pPr>
              <w:spacing w:after="0"/>
            </w:pPr>
            <w:r>
              <w:rPr>
                <w:rFonts w:ascii="Aptos" w:hAnsi="Aptos"/>
                <w:b/>
                <w:i w:val="0"/>
                <w:color w:val="FFFFFF"/>
                <w:sz w:val="18"/>
              </w:rPr>
              <w:t>Next small step</w:t>
            </w:r>
          </w:p>
        </w:tc>
      </w:tr>
      <w:tr>
        <w:tc>
          <w:tcPr>
            <w:tcW w:type="dxa" w:w="5100"/>
            <w:tcMar>
              <w:top w:w="90" w:type="dxa"/>
              <w:start w:w="120" w:type="dxa"/>
              <w:bottom w:w="90" w:type="dxa"/>
              <w:end w:w="120" w:type="dxa"/>
            </w:tcMar>
            <w:vAlign w:val="center"/>
          </w:tcPr>
          <w:p>
            <w:pPr>
              <w:spacing w:after="0" w:line="252" w:lineRule="auto"/>
            </w:pPr>
            <w:r>
              <w:rPr>
                <w:rFonts w:ascii="Aptos" w:hAnsi="Aptos"/>
                <w:b w:val="0"/>
                <w:i w:val="0"/>
                <w:color w:val="24323D"/>
                <w:sz w:val="17"/>
              </w:rPr>
              <w:t>I know our regular monthly income and essential expenses.</w:t>
            </w:r>
          </w:p>
        </w:tc>
        <w:tc>
          <w:tcPr>
            <w:tcW w:type="dxa" w:w="700"/>
            <w:tcMar>
              <w:top w:w="90" w:type="dxa"/>
              <w:start w:w="120" w:type="dxa"/>
              <w:bottom w:w="90" w:type="dxa"/>
              <w:end w:w="120" w:type="dxa"/>
            </w:tcMar>
            <w:vAlign w:val="center"/>
          </w:tcPr>
          <w:p>
            <w:pPr>
              <w:spacing w:after="0" w:line="252" w:lineRule="auto"/>
            </w:pPr>
            <w:r>
              <w:rPr>
                <w:rFonts w:ascii="Aptos" w:hAnsi="Aptos"/>
                <w:b w:val="0"/>
                <w:i w:val="0"/>
                <w:color w:val="24323D"/>
                <w:sz w:val="17"/>
              </w:rPr>
              <w:t>☐</w:t>
            </w:r>
          </w:p>
        </w:tc>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7"/>
              </w:rPr>
              <w:t>☐</w:t>
            </w:r>
          </w:p>
        </w:tc>
        <w:tc>
          <w:tcPr>
            <w:tcW w:type="dxa" w:w="26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5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We have an accessible emergency fund.</w:t>
            </w:r>
          </w:p>
        </w:tc>
        <w:tc>
          <w:tcPr>
            <w:tcW w:type="dxa" w:w="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t>
            </w:r>
          </w:p>
        </w:tc>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t>
            </w:r>
          </w:p>
        </w:tc>
        <w:tc>
          <w:tcPr>
            <w:tcW w:type="dxa" w:w="26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5100"/>
            <w:tcMar>
              <w:top w:w="90" w:type="dxa"/>
              <w:start w:w="120" w:type="dxa"/>
              <w:bottom w:w="90" w:type="dxa"/>
              <w:end w:w="120" w:type="dxa"/>
            </w:tcMar>
            <w:vAlign w:val="center"/>
          </w:tcPr>
          <w:p>
            <w:pPr>
              <w:spacing w:after="0" w:line="252" w:lineRule="auto"/>
            </w:pPr>
            <w:r>
              <w:rPr>
                <w:rFonts w:ascii="Aptos" w:hAnsi="Aptos"/>
                <w:b w:val="0"/>
                <w:i w:val="0"/>
                <w:color w:val="24323D"/>
                <w:sz w:val="17"/>
              </w:rPr>
              <w:t>I understand our health and life cover.</w:t>
            </w:r>
          </w:p>
        </w:tc>
        <w:tc>
          <w:tcPr>
            <w:tcW w:type="dxa" w:w="700"/>
            <w:tcMar>
              <w:top w:w="90" w:type="dxa"/>
              <w:start w:w="120" w:type="dxa"/>
              <w:bottom w:w="90" w:type="dxa"/>
              <w:end w:w="120" w:type="dxa"/>
            </w:tcMar>
            <w:vAlign w:val="center"/>
          </w:tcPr>
          <w:p>
            <w:pPr>
              <w:spacing w:after="0" w:line="252" w:lineRule="auto"/>
            </w:pPr>
            <w:r>
              <w:rPr>
                <w:rFonts w:ascii="Aptos" w:hAnsi="Aptos"/>
                <w:b w:val="0"/>
                <w:i w:val="0"/>
                <w:color w:val="24323D"/>
                <w:sz w:val="17"/>
              </w:rPr>
              <w:t>☐</w:t>
            </w:r>
          </w:p>
        </w:tc>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7"/>
              </w:rPr>
              <w:t>☐</w:t>
            </w:r>
          </w:p>
        </w:tc>
        <w:tc>
          <w:tcPr>
            <w:tcW w:type="dxa" w:w="26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5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I know our loans, rates and repayment dates.</w:t>
            </w:r>
          </w:p>
        </w:tc>
        <w:tc>
          <w:tcPr>
            <w:tcW w:type="dxa" w:w="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t>
            </w:r>
          </w:p>
        </w:tc>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t>
            </w:r>
          </w:p>
        </w:tc>
        <w:tc>
          <w:tcPr>
            <w:tcW w:type="dxa" w:w="26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5100"/>
            <w:tcMar>
              <w:top w:w="90" w:type="dxa"/>
              <w:start w:w="120" w:type="dxa"/>
              <w:bottom w:w="90" w:type="dxa"/>
              <w:end w:w="120" w:type="dxa"/>
            </w:tcMar>
            <w:vAlign w:val="center"/>
          </w:tcPr>
          <w:p>
            <w:pPr>
              <w:spacing w:after="0" w:line="252" w:lineRule="auto"/>
            </w:pPr>
            <w:r>
              <w:rPr>
                <w:rFonts w:ascii="Aptos" w:hAnsi="Aptos"/>
                <w:b w:val="0"/>
                <w:i w:val="0"/>
                <w:color w:val="24323D"/>
                <w:sz w:val="17"/>
              </w:rPr>
              <w:t>Our nominees and important documents are current.</w:t>
            </w:r>
          </w:p>
        </w:tc>
        <w:tc>
          <w:tcPr>
            <w:tcW w:type="dxa" w:w="700"/>
            <w:tcMar>
              <w:top w:w="90" w:type="dxa"/>
              <w:start w:w="120" w:type="dxa"/>
              <w:bottom w:w="90" w:type="dxa"/>
              <w:end w:w="120" w:type="dxa"/>
            </w:tcMar>
            <w:vAlign w:val="center"/>
          </w:tcPr>
          <w:p>
            <w:pPr>
              <w:spacing w:after="0" w:line="252" w:lineRule="auto"/>
            </w:pPr>
            <w:r>
              <w:rPr>
                <w:rFonts w:ascii="Aptos" w:hAnsi="Aptos"/>
                <w:b w:val="0"/>
                <w:i w:val="0"/>
                <w:color w:val="24323D"/>
                <w:sz w:val="17"/>
              </w:rPr>
              <w:t>☐</w:t>
            </w:r>
          </w:p>
        </w:tc>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7"/>
              </w:rPr>
              <w:t>☐</w:t>
            </w:r>
          </w:p>
        </w:tc>
        <w:tc>
          <w:tcPr>
            <w:tcW w:type="dxa" w:w="26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5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Every investment has a named goal.</w:t>
            </w:r>
          </w:p>
        </w:tc>
        <w:tc>
          <w:tcPr>
            <w:tcW w:type="dxa" w:w="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t>
            </w:r>
          </w:p>
        </w:tc>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t>
            </w:r>
          </w:p>
        </w:tc>
        <w:tc>
          <w:tcPr>
            <w:tcW w:type="dxa" w:w="26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5100"/>
            <w:tcMar>
              <w:top w:w="90" w:type="dxa"/>
              <w:start w:w="120" w:type="dxa"/>
              <w:bottom w:w="90" w:type="dxa"/>
              <w:end w:w="120" w:type="dxa"/>
            </w:tcMar>
            <w:vAlign w:val="center"/>
          </w:tcPr>
          <w:p>
            <w:pPr>
              <w:spacing w:after="0" w:line="252" w:lineRule="auto"/>
            </w:pPr>
            <w:r>
              <w:rPr>
                <w:rFonts w:ascii="Aptos" w:hAnsi="Aptos"/>
                <w:b w:val="0"/>
                <w:i w:val="0"/>
                <w:color w:val="24323D"/>
                <w:sz w:val="17"/>
              </w:rPr>
              <w:t>I can locate tax records and recent returns.</w:t>
            </w:r>
          </w:p>
        </w:tc>
        <w:tc>
          <w:tcPr>
            <w:tcW w:type="dxa" w:w="700"/>
            <w:tcMar>
              <w:top w:w="90" w:type="dxa"/>
              <w:start w:w="120" w:type="dxa"/>
              <w:bottom w:w="90" w:type="dxa"/>
              <w:end w:w="120" w:type="dxa"/>
            </w:tcMar>
            <w:vAlign w:val="center"/>
          </w:tcPr>
          <w:p>
            <w:pPr>
              <w:spacing w:after="0" w:line="252" w:lineRule="auto"/>
            </w:pPr>
            <w:r>
              <w:rPr>
                <w:rFonts w:ascii="Aptos" w:hAnsi="Aptos"/>
                <w:b w:val="0"/>
                <w:i w:val="0"/>
                <w:color w:val="24323D"/>
                <w:sz w:val="17"/>
              </w:rPr>
              <w:t>☐</w:t>
            </w:r>
          </w:p>
        </w:tc>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7"/>
              </w:rPr>
              <w:t>☐</w:t>
            </w:r>
          </w:p>
        </w:tc>
        <w:tc>
          <w:tcPr>
            <w:tcW w:type="dxa" w:w="26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5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I know what to do after a suspected financial fraud.</w:t>
            </w:r>
          </w:p>
        </w:tc>
        <w:tc>
          <w:tcPr>
            <w:tcW w:type="dxa" w:w="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t>
            </w:r>
          </w:p>
        </w:tc>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t>
            </w:r>
          </w:p>
        </w:tc>
        <w:tc>
          <w:tcPr>
            <w:tcW w:type="dxa" w:w="26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bl>
    <w:p>
      <w:pPr>
        <w:spacing w:after="20"/>
      </w:pPr>
    </w:p>
    <w:p>
      <w:pPr>
        <w:pStyle w:val="Heading1"/>
      </w:pPr>
      <w:r>
        <w:t>2. Monthly money map</w:t>
      </w:r>
    </w:p>
    <w:tbl>
      <w:tblPr>
        <w:tblStyle w:val="TableGrid"/>
        <w:tblW w:type="dxa" w:w="9360"/>
        <w:jc w:val="center"/>
        <w:tblLayout w:type="fixed"/>
        <w:tblLook w:firstColumn="1" w:firstRow="1" w:lastColumn="0" w:lastRow="0" w:noHBand="0" w:noVBand="1" w:val="04A0"/>
        <w:tblInd w:w="120" w:type="dxa"/>
      </w:tblPr>
      <w:tblGrid>
        <w:gridCol w:w="3600"/>
        <w:gridCol w:w="2100"/>
        <w:gridCol w:w="3660"/>
      </w:tblGrid>
      <w:tr>
        <w:trPr>
          <w:tblHeader w:val="true"/>
        </w:trPr>
        <w:tc>
          <w:tcPr>
            <w:tcW w:type="dxa" w:w="3600"/>
            <w:tcMar>
              <w:top w:w="90" w:type="dxa"/>
              <w:start w:w="120" w:type="dxa"/>
              <w:bottom w:w="90" w:type="dxa"/>
              <w:end w:w="120" w:type="dxa"/>
            </w:tcMar>
            <w:shd w:fill="24445C"/>
            <w:vAlign w:val="center"/>
          </w:tcPr>
          <w:p>
            <w:pPr>
              <w:spacing w:after="0"/>
            </w:pPr>
            <w:r>
              <w:rPr>
                <w:rFonts w:ascii="Aptos" w:hAnsi="Aptos"/>
                <w:b/>
                <w:i w:val="0"/>
                <w:color w:val="FFFFFF"/>
                <w:sz w:val="18"/>
              </w:rPr>
              <w:t>Money coming in</w:t>
            </w:r>
          </w:p>
        </w:tc>
        <w:tc>
          <w:tcPr>
            <w:tcW w:type="dxa" w:w="2100"/>
            <w:tcMar>
              <w:top w:w="90" w:type="dxa"/>
              <w:start w:w="120" w:type="dxa"/>
              <w:bottom w:w="90" w:type="dxa"/>
              <w:end w:w="120" w:type="dxa"/>
            </w:tcMar>
            <w:shd w:fill="24445C"/>
            <w:vAlign w:val="center"/>
          </w:tcPr>
          <w:p>
            <w:pPr>
              <w:spacing w:after="0"/>
            </w:pPr>
            <w:r>
              <w:rPr>
                <w:rFonts w:ascii="Aptos" w:hAnsi="Aptos"/>
                <w:b/>
                <w:i w:val="0"/>
                <w:color w:val="FFFFFF"/>
                <w:sz w:val="18"/>
              </w:rPr>
              <w:t>Monthly amount (₹)</w:t>
            </w:r>
          </w:p>
        </w:tc>
        <w:tc>
          <w:tcPr>
            <w:tcW w:type="dxa" w:w="3660"/>
            <w:tcMar>
              <w:top w:w="90" w:type="dxa"/>
              <w:start w:w="120" w:type="dxa"/>
              <w:bottom w:w="90" w:type="dxa"/>
              <w:end w:w="120" w:type="dxa"/>
            </w:tcMar>
            <w:shd w:fill="24445C"/>
            <w:vAlign w:val="center"/>
          </w:tcPr>
          <w:p>
            <w:pPr>
              <w:spacing w:after="0"/>
            </w:pPr>
            <w:r>
              <w:rPr>
                <w:rFonts w:ascii="Aptos" w:hAnsi="Aptos"/>
                <w:b/>
                <w:i w:val="0"/>
                <w:color w:val="FFFFFF"/>
                <w:sz w:val="18"/>
              </w:rPr>
              <w:t>Notes / variability</w:t>
            </w:r>
          </w:p>
        </w:tc>
      </w:tr>
      <w:tr>
        <w:tc>
          <w:tcPr>
            <w:tcW w:type="dxa" w:w="3600"/>
            <w:tcMar>
              <w:top w:w="90" w:type="dxa"/>
              <w:start w:w="120" w:type="dxa"/>
              <w:bottom w:w="90" w:type="dxa"/>
              <w:end w:w="120" w:type="dxa"/>
            </w:tcMar>
            <w:vAlign w:val="center"/>
          </w:tcPr>
          <w:p>
            <w:pPr>
              <w:spacing w:after="0" w:line="252" w:lineRule="auto"/>
            </w:pPr>
            <w:r>
              <w:rPr>
                <w:rFonts w:ascii="Aptos" w:hAnsi="Aptos"/>
                <w:b w:val="0"/>
                <w:i w:val="0"/>
                <w:color w:val="24323D"/>
                <w:sz w:val="18"/>
              </w:rPr>
              <w:t>Salary / pension</w:t>
            </w:r>
          </w:p>
        </w:tc>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8"/>
              </w:rPr>
            </w:r>
          </w:p>
        </w:tc>
        <w:tc>
          <w:tcPr>
            <w:tcW w:type="dxa" w:w="3660"/>
            <w:tcMar>
              <w:top w:w="90" w:type="dxa"/>
              <w:start w:w="120" w:type="dxa"/>
              <w:bottom w:w="90" w:type="dxa"/>
              <w:end w:w="120" w:type="dxa"/>
            </w:tcMar>
            <w:vAlign w:val="center"/>
          </w:tcPr>
          <w:p>
            <w:pPr>
              <w:spacing w:after="0" w:line="252" w:lineRule="auto"/>
            </w:pPr>
            <w:r>
              <w:rPr>
                <w:rFonts w:ascii="Aptos" w:hAnsi="Aptos"/>
                <w:b w:val="0"/>
                <w:i w:val="0"/>
                <w:color w:val="24323D"/>
                <w:sz w:val="18"/>
              </w:rPr>
            </w:r>
          </w:p>
        </w:tc>
      </w:tr>
      <w:tr>
        <w:tc>
          <w:tcPr>
            <w:tcW w:type="dxa" w:w="3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Business / freelance income</w:t>
            </w:r>
          </w:p>
        </w:tc>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r>
          </w:p>
        </w:tc>
        <w:tc>
          <w:tcPr>
            <w:tcW w:type="dxa" w:w="36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r>
          </w:p>
        </w:tc>
      </w:tr>
      <w:tr>
        <w:tc>
          <w:tcPr>
            <w:tcW w:type="dxa" w:w="3600"/>
            <w:tcMar>
              <w:top w:w="90" w:type="dxa"/>
              <w:start w:w="120" w:type="dxa"/>
              <w:bottom w:w="90" w:type="dxa"/>
              <w:end w:w="120" w:type="dxa"/>
            </w:tcMar>
            <w:vAlign w:val="center"/>
          </w:tcPr>
          <w:p>
            <w:pPr>
              <w:spacing w:after="0" w:line="252" w:lineRule="auto"/>
            </w:pPr>
            <w:r>
              <w:rPr>
                <w:rFonts w:ascii="Aptos" w:hAnsi="Aptos"/>
                <w:b w:val="0"/>
                <w:i w:val="0"/>
                <w:color w:val="24323D"/>
                <w:sz w:val="18"/>
              </w:rPr>
              <w:t>Rent / interest / other</w:t>
            </w:r>
          </w:p>
        </w:tc>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8"/>
              </w:rPr>
            </w:r>
          </w:p>
        </w:tc>
        <w:tc>
          <w:tcPr>
            <w:tcW w:type="dxa" w:w="3660"/>
            <w:tcMar>
              <w:top w:w="90" w:type="dxa"/>
              <w:start w:w="120" w:type="dxa"/>
              <w:bottom w:w="90" w:type="dxa"/>
              <w:end w:w="120" w:type="dxa"/>
            </w:tcMar>
            <w:vAlign w:val="center"/>
          </w:tcPr>
          <w:p>
            <w:pPr>
              <w:spacing w:after="0" w:line="252" w:lineRule="auto"/>
            </w:pPr>
            <w:r>
              <w:rPr>
                <w:rFonts w:ascii="Aptos" w:hAnsi="Aptos"/>
                <w:b w:val="0"/>
                <w:i w:val="0"/>
                <w:color w:val="24323D"/>
                <w:sz w:val="18"/>
              </w:rPr>
            </w:r>
          </w:p>
        </w:tc>
      </w:tr>
      <w:tr>
        <w:tc>
          <w:tcPr>
            <w:tcW w:type="dxa" w:w="3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Total monthly income</w:t>
            </w:r>
          </w:p>
        </w:tc>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r>
          </w:p>
        </w:tc>
        <w:tc>
          <w:tcPr>
            <w:tcW w:type="dxa" w:w="36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3600"/>
        <w:gridCol w:w="2100"/>
        <w:gridCol w:w="3660"/>
      </w:tblGrid>
      <w:tr>
        <w:trPr>
          <w:tblHeader w:val="true"/>
        </w:trPr>
        <w:tc>
          <w:tcPr>
            <w:tcW w:type="dxa" w:w="3600"/>
            <w:tcMar>
              <w:top w:w="90" w:type="dxa"/>
              <w:start w:w="120" w:type="dxa"/>
              <w:bottom w:w="90" w:type="dxa"/>
              <w:end w:w="120" w:type="dxa"/>
            </w:tcMar>
            <w:shd w:fill="24445C"/>
            <w:vAlign w:val="center"/>
          </w:tcPr>
          <w:p>
            <w:pPr>
              <w:spacing w:after="0"/>
            </w:pPr>
            <w:r>
              <w:rPr>
                <w:rFonts w:ascii="Aptos" w:hAnsi="Aptos"/>
                <w:b/>
                <w:i w:val="0"/>
                <w:color w:val="FFFFFF"/>
                <w:sz w:val="18"/>
              </w:rPr>
              <w:t>Money going out</w:t>
            </w:r>
          </w:p>
        </w:tc>
        <w:tc>
          <w:tcPr>
            <w:tcW w:type="dxa" w:w="2100"/>
            <w:tcMar>
              <w:top w:w="90" w:type="dxa"/>
              <w:start w:w="120" w:type="dxa"/>
              <w:bottom w:w="90" w:type="dxa"/>
              <w:end w:w="120" w:type="dxa"/>
            </w:tcMar>
            <w:shd w:fill="24445C"/>
            <w:vAlign w:val="center"/>
          </w:tcPr>
          <w:p>
            <w:pPr>
              <w:spacing w:after="0"/>
            </w:pPr>
            <w:r>
              <w:rPr>
                <w:rFonts w:ascii="Aptos" w:hAnsi="Aptos"/>
                <w:b/>
                <w:i w:val="0"/>
                <w:color w:val="FFFFFF"/>
                <w:sz w:val="18"/>
              </w:rPr>
              <w:t>Monthly amount (₹)</w:t>
            </w:r>
          </w:p>
        </w:tc>
        <w:tc>
          <w:tcPr>
            <w:tcW w:type="dxa" w:w="3660"/>
            <w:tcMar>
              <w:top w:w="90" w:type="dxa"/>
              <w:start w:w="120" w:type="dxa"/>
              <w:bottom w:w="90" w:type="dxa"/>
              <w:end w:w="120" w:type="dxa"/>
            </w:tcMar>
            <w:shd w:fill="24445C"/>
            <w:vAlign w:val="center"/>
          </w:tcPr>
          <w:p>
            <w:pPr>
              <w:spacing w:after="0"/>
            </w:pPr>
            <w:r>
              <w:rPr>
                <w:rFonts w:ascii="Aptos" w:hAnsi="Aptos"/>
                <w:b/>
                <w:i w:val="0"/>
                <w:color w:val="FFFFFF"/>
                <w:sz w:val="18"/>
              </w:rPr>
              <w:t>Notes</w:t>
            </w:r>
          </w:p>
        </w:tc>
      </w:tr>
      <w:tr>
        <w:tc>
          <w:tcPr>
            <w:tcW w:type="dxa" w:w="3600"/>
            <w:tcMar>
              <w:top w:w="90" w:type="dxa"/>
              <w:start w:w="120" w:type="dxa"/>
              <w:bottom w:w="90" w:type="dxa"/>
              <w:end w:w="120" w:type="dxa"/>
            </w:tcMar>
            <w:vAlign w:val="center"/>
          </w:tcPr>
          <w:p>
            <w:pPr>
              <w:spacing w:after="0" w:line="252" w:lineRule="auto"/>
            </w:pPr>
            <w:r>
              <w:rPr>
                <w:rFonts w:ascii="Aptos" w:hAnsi="Aptos"/>
                <w:b w:val="0"/>
                <w:i w:val="0"/>
                <w:color w:val="24323D"/>
                <w:sz w:val="17"/>
              </w:rPr>
              <w:t>Housing and utilities</w:t>
            </w:r>
          </w:p>
        </w:tc>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c>
          <w:tcPr>
            <w:tcW w:type="dxa" w:w="36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3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Food and household</w:t>
            </w:r>
          </w:p>
        </w:tc>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c>
          <w:tcPr>
            <w:tcW w:type="dxa" w:w="36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3600"/>
            <w:tcMar>
              <w:top w:w="90" w:type="dxa"/>
              <w:start w:w="120" w:type="dxa"/>
              <w:bottom w:w="90" w:type="dxa"/>
              <w:end w:w="120" w:type="dxa"/>
            </w:tcMar>
            <w:vAlign w:val="center"/>
          </w:tcPr>
          <w:p>
            <w:pPr>
              <w:spacing w:after="0" w:line="252" w:lineRule="auto"/>
            </w:pPr>
            <w:r>
              <w:rPr>
                <w:rFonts w:ascii="Aptos" w:hAnsi="Aptos"/>
                <w:b w:val="0"/>
                <w:i w:val="0"/>
                <w:color w:val="24323D"/>
                <w:sz w:val="17"/>
              </w:rPr>
              <w:t>Children / education / care</w:t>
            </w:r>
          </w:p>
        </w:tc>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c>
          <w:tcPr>
            <w:tcW w:type="dxa" w:w="36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3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Health and insurance</w:t>
            </w:r>
          </w:p>
        </w:tc>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c>
          <w:tcPr>
            <w:tcW w:type="dxa" w:w="36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3600"/>
            <w:tcMar>
              <w:top w:w="90" w:type="dxa"/>
              <w:start w:w="120" w:type="dxa"/>
              <w:bottom w:w="90" w:type="dxa"/>
              <w:end w:w="120" w:type="dxa"/>
            </w:tcMar>
            <w:vAlign w:val="center"/>
          </w:tcPr>
          <w:p>
            <w:pPr>
              <w:spacing w:after="0" w:line="252" w:lineRule="auto"/>
            </w:pPr>
            <w:r>
              <w:rPr>
                <w:rFonts w:ascii="Aptos" w:hAnsi="Aptos"/>
                <w:b w:val="0"/>
                <w:i w:val="0"/>
                <w:color w:val="24323D"/>
                <w:sz w:val="17"/>
              </w:rPr>
              <w:t>Transport</w:t>
            </w:r>
          </w:p>
        </w:tc>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c>
          <w:tcPr>
            <w:tcW w:type="dxa" w:w="36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3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Loan repayments</w:t>
            </w:r>
          </w:p>
        </w:tc>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c>
          <w:tcPr>
            <w:tcW w:type="dxa" w:w="36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3600"/>
            <w:tcMar>
              <w:top w:w="90" w:type="dxa"/>
              <w:start w:w="120" w:type="dxa"/>
              <w:bottom w:w="90" w:type="dxa"/>
              <w:end w:w="120" w:type="dxa"/>
            </w:tcMar>
            <w:vAlign w:val="center"/>
          </w:tcPr>
          <w:p>
            <w:pPr>
              <w:spacing w:after="0" w:line="252" w:lineRule="auto"/>
            </w:pPr>
            <w:r>
              <w:rPr>
                <w:rFonts w:ascii="Aptos" w:hAnsi="Aptos"/>
                <w:b w:val="0"/>
                <w:i w:val="0"/>
                <w:color w:val="24323D"/>
                <w:sz w:val="17"/>
              </w:rPr>
              <w:t>Lifestyle and subscriptions</w:t>
            </w:r>
          </w:p>
        </w:tc>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c>
          <w:tcPr>
            <w:tcW w:type="dxa" w:w="36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3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Savings and investments</w:t>
            </w:r>
          </w:p>
        </w:tc>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c>
          <w:tcPr>
            <w:tcW w:type="dxa" w:w="36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3600"/>
            <w:tcMar>
              <w:top w:w="90" w:type="dxa"/>
              <w:start w:w="120" w:type="dxa"/>
              <w:bottom w:w="90" w:type="dxa"/>
              <w:end w:w="120" w:type="dxa"/>
            </w:tcMar>
            <w:vAlign w:val="center"/>
          </w:tcPr>
          <w:p>
            <w:pPr>
              <w:spacing w:after="0" w:line="252" w:lineRule="auto"/>
            </w:pPr>
            <w:r>
              <w:rPr>
                <w:rFonts w:ascii="Aptos" w:hAnsi="Aptos"/>
                <w:b w:val="0"/>
                <w:i w:val="0"/>
                <w:color w:val="24323D"/>
                <w:sz w:val="17"/>
              </w:rPr>
              <w:t>Other</w:t>
            </w:r>
          </w:p>
        </w:tc>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c>
          <w:tcPr>
            <w:tcW w:type="dxa" w:w="36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36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Total monthly outflow</w:t>
            </w:r>
          </w:p>
        </w:tc>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c>
          <w:tcPr>
            <w:tcW w:type="dxa" w:w="36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REFLECTION</w:t>
            </w:r>
          </w:p>
          <w:p>
            <w:pPr>
              <w:spacing w:after="0"/>
            </w:pPr>
            <w:r>
              <w:rPr>
                <w:rFonts w:ascii="Aptos" w:hAnsi="Aptos"/>
                <w:b w:val="0"/>
                <w:i w:val="0"/>
                <w:color w:val="24323D"/>
                <w:sz w:val="20"/>
              </w:rPr>
              <w:t>Which three expenses protect or improve family life most? Which two outflows no longer feel worth their cost? What irregular annual expenses should become monthly sinking funds?</w:t>
            </w:r>
          </w:p>
        </w:tc>
      </w:tr>
    </w:tbl>
    <w:p>
      <w:pPr>
        <w:spacing w:after="20"/>
      </w:pP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pStyle w:val="Heading1"/>
      </w:pPr>
      <w:r>
        <w:t>3. Emergency-fund worksheet</w:t>
      </w:r>
    </w:p>
    <w:tbl>
      <w:tblPr>
        <w:tblStyle w:val="TableGrid"/>
        <w:tblW w:type="dxa" w:w="9360"/>
        <w:jc w:val="center"/>
        <w:tblLayout w:type="fixed"/>
        <w:tblLook w:firstColumn="1" w:firstRow="1" w:lastColumn="0" w:lastRow="0" w:noHBand="0" w:noVBand="1" w:val="04A0"/>
        <w:tblInd w:w="120" w:type="dxa"/>
      </w:tblPr>
      <w:tblGrid>
        <w:gridCol w:w="6000"/>
        <w:gridCol w:w="3360"/>
      </w:tblGrid>
      <w:tr>
        <w:trPr>
          <w:tblHeader w:val="true"/>
        </w:trPr>
        <w:tc>
          <w:tcPr>
            <w:tcW w:type="dxa" w:w="6000"/>
            <w:tcMar>
              <w:top w:w="90" w:type="dxa"/>
              <w:start w:w="120" w:type="dxa"/>
              <w:bottom w:w="90" w:type="dxa"/>
              <w:end w:w="120" w:type="dxa"/>
            </w:tcMar>
            <w:shd w:fill="24445C"/>
            <w:vAlign w:val="center"/>
          </w:tcPr>
          <w:p>
            <w:pPr>
              <w:spacing w:after="0"/>
            </w:pPr>
            <w:r>
              <w:rPr>
                <w:rFonts w:ascii="Aptos" w:hAnsi="Aptos"/>
                <w:b/>
                <w:i w:val="0"/>
                <w:color w:val="FFFFFF"/>
                <w:sz w:val="18"/>
              </w:rPr>
              <w:t>Essential monthly expense</w:t>
            </w:r>
          </w:p>
        </w:tc>
        <w:tc>
          <w:tcPr>
            <w:tcW w:type="dxa" w:w="3360"/>
            <w:tcMar>
              <w:top w:w="90" w:type="dxa"/>
              <w:start w:w="120" w:type="dxa"/>
              <w:bottom w:w="90" w:type="dxa"/>
              <w:end w:w="120" w:type="dxa"/>
            </w:tcMar>
            <w:shd w:fill="24445C"/>
            <w:vAlign w:val="center"/>
          </w:tcPr>
          <w:p>
            <w:pPr>
              <w:spacing w:after="0"/>
            </w:pPr>
            <w:r>
              <w:rPr>
                <w:rFonts w:ascii="Aptos" w:hAnsi="Aptos"/>
                <w:b/>
                <w:i w:val="0"/>
                <w:color w:val="FFFFFF"/>
                <w:sz w:val="18"/>
              </w:rPr>
              <w:t>Amount (₹)</w:t>
            </w:r>
          </w:p>
        </w:tc>
      </w:tr>
      <w:tr>
        <w:tc>
          <w:tcPr>
            <w:tcW w:type="dxa" w:w="6000"/>
            <w:tcMar>
              <w:top w:w="90" w:type="dxa"/>
              <w:start w:w="120" w:type="dxa"/>
              <w:bottom w:w="90" w:type="dxa"/>
              <w:end w:w="120" w:type="dxa"/>
            </w:tcMar>
            <w:vAlign w:val="center"/>
          </w:tcPr>
          <w:p>
            <w:pPr>
              <w:spacing w:after="0" w:line="252" w:lineRule="auto"/>
            </w:pPr>
            <w:r>
              <w:rPr>
                <w:rFonts w:ascii="Aptos" w:hAnsi="Aptos"/>
                <w:b w:val="0"/>
                <w:i w:val="0"/>
                <w:color w:val="24323D"/>
                <w:sz w:val="18"/>
              </w:rPr>
              <w:t>Housing and utilities</w:t>
            </w:r>
          </w:p>
        </w:tc>
        <w:tc>
          <w:tcPr>
            <w:tcW w:type="dxa" w:w="3360"/>
            <w:tcMar>
              <w:top w:w="90" w:type="dxa"/>
              <w:start w:w="120" w:type="dxa"/>
              <w:bottom w:w="90" w:type="dxa"/>
              <w:end w:w="120" w:type="dxa"/>
            </w:tcMar>
            <w:vAlign w:val="center"/>
          </w:tcPr>
          <w:p>
            <w:pPr>
              <w:spacing w:after="0" w:line="252" w:lineRule="auto"/>
            </w:pPr>
            <w:r>
              <w:rPr>
                <w:rFonts w:ascii="Aptos" w:hAnsi="Aptos"/>
                <w:b w:val="0"/>
                <w:i w:val="0"/>
                <w:color w:val="24323D"/>
                <w:sz w:val="18"/>
              </w:rPr>
            </w:r>
          </w:p>
        </w:tc>
      </w:tr>
      <w:tr>
        <w:tc>
          <w:tcPr>
            <w:tcW w:type="dxa" w:w="6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Food and household</w:t>
            </w:r>
          </w:p>
        </w:tc>
        <w:tc>
          <w:tcPr>
            <w:tcW w:type="dxa" w:w="33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r>
          </w:p>
        </w:tc>
      </w:tr>
      <w:tr>
        <w:tc>
          <w:tcPr>
            <w:tcW w:type="dxa" w:w="6000"/>
            <w:tcMar>
              <w:top w:w="90" w:type="dxa"/>
              <w:start w:w="120" w:type="dxa"/>
              <w:bottom w:w="90" w:type="dxa"/>
              <w:end w:w="120" w:type="dxa"/>
            </w:tcMar>
            <w:vAlign w:val="center"/>
          </w:tcPr>
          <w:p>
            <w:pPr>
              <w:spacing w:after="0" w:line="252" w:lineRule="auto"/>
            </w:pPr>
            <w:r>
              <w:rPr>
                <w:rFonts w:ascii="Aptos" w:hAnsi="Aptos"/>
                <w:b w:val="0"/>
                <w:i w:val="0"/>
                <w:color w:val="24323D"/>
                <w:sz w:val="18"/>
              </w:rPr>
              <w:t>Health / medicines</w:t>
            </w:r>
          </w:p>
        </w:tc>
        <w:tc>
          <w:tcPr>
            <w:tcW w:type="dxa" w:w="3360"/>
            <w:tcMar>
              <w:top w:w="90" w:type="dxa"/>
              <w:start w:w="120" w:type="dxa"/>
              <w:bottom w:w="90" w:type="dxa"/>
              <w:end w:w="120" w:type="dxa"/>
            </w:tcMar>
            <w:vAlign w:val="center"/>
          </w:tcPr>
          <w:p>
            <w:pPr>
              <w:spacing w:after="0" w:line="252" w:lineRule="auto"/>
            </w:pPr>
            <w:r>
              <w:rPr>
                <w:rFonts w:ascii="Aptos" w:hAnsi="Aptos"/>
                <w:b w:val="0"/>
                <w:i w:val="0"/>
                <w:color w:val="24323D"/>
                <w:sz w:val="18"/>
              </w:rPr>
            </w:r>
          </w:p>
        </w:tc>
      </w:tr>
      <w:tr>
        <w:tc>
          <w:tcPr>
            <w:tcW w:type="dxa" w:w="6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Transport</w:t>
            </w:r>
          </w:p>
        </w:tc>
        <w:tc>
          <w:tcPr>
            <w:tcW w:type="dxa" w:w="33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r>
          </w:p>
        </w:tc>
      </w:tr>
      <w:tr>
        <w:tc>
          <w:tcPr>
            <w:tcW w:type="dxa" w:w="6000"/>
            <w:tcMar>
              <w:top w:w="90" w:type="dxa"/>
              <w:start w:w="120" w:type="dxa"/>
              <w:bottom w:w="90" w:type="dxa"/>
              <w:end w:w="120" w:type="dxa"/>
            </w:tcMar>
            <w:vAlign w:val="center"/>
          </w:tcPr>
          <w:p>
            <w:pPr>
              <w:spacing w:after="0" w:line="252" w:lineRule="auto"/>
            </w:pPr>
            <w:r>
              <w:rPr>
                <w:rFonts w:ascii="Aptos" w:hAnsi="Aptos"/>
                <w:b w:val="0"/>
                <w:i w:val="0"/>
                <w:color w:val="24323D"/>
                <w:sz w:val="18"/>
              </w:rPr>
              <w:t>Essential education / care</w:t>
            </w:r>
          </w:p>
        </w:tc>
        <w:tc>
          <w:tcPr>
            <w:tcW w:type="dxa" w:w="3360"/>
            <w:tcMar>
              <w:top w:w="90" w:type="dxa"/>
              <w:start w:w="120" w:type="dxa"/>
              <w:bottom w:w="90" w:type="dxa"/>
              <w:end w:w="120" w:type="dxa"/>
            </w:tcMar>
            <w:vAlign w:val="center"/>
          </w:tcPr>
          <w:p>
            <w:pPr>
              <w:spacing w:after="0" w:line="252" w:lineRule="auto"/>
            </w:pPr>
            <w:r>
              <w:rPr>
                <w:rFonts w:ascii="Aptos" w:hAnsi="Aptos"/>
                <w:b w:val="0"/>
                <w:i w:val="0"/>
                <w:color w:val="24323D"/>
                <w:sz w:val="18"/>
              </w:rPr>
            </w:r>
          </w:p>
        </w:tc>
      </w:tr>
      <w:tr>
        <w:tc>
          <w:tcPr>
            <w:tcW w:type="dxa" w:w="6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Minimum loan payments</w:t>
            </w:r>
          </w:p>
        </w:tc>
        <w:tc>
          <w:tcPr>
            <w:tcW w:type="dxa" w:w="33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r>
          </w:p>
        </w:tc>
      </w:tr>
      <w:tr>
        <w:tc>
          <w:tcPr>
            <w:tcW w:type="dxa" w:w="6000"/>
            <w:tcMar>
              <w:top w:w="90" w:type="dxa"/>
              <w:start w:w="120" w:type="dxa"/>
              <w:bottom w:w="90" w:type="dxa"/>
              <w:end w:w="120" w:type="dxa"/>
            </w:tcMar>
            <w:vAlign w:val="center"/>
          </w:tcPr>
          <w:p>
            <w:pPr>
              <w:spacing w:after="0" w:line="252" w:lineRule="auto"/>
            </w:pPr>
            <w:r>
              <w:rPr>
                <w:rFonts w:ascii="Aptos" w:hAnsi="Aptos"/>
                <w:b w:val="0"/>
                <w:i w:val="0"/>
                <w:color w:val="24323D"/>
                <w:sz w:val="18"/>
              </w:rPr>
              <w:t>Other essentials</w:t>
            </w:r>
          </w:p>
        </w:tc>
        <w:tc>
          <w:tcPr>
            <w:tcW w:type="dxa" w:w="3360"/>
            <w:tcMar>
              <w:top w:w="90" w:type="dxa"/>
              <w:start w:w="120" w:type="dxa"/>
              <w:bottom w:w="90" w:type="dxa"/>
              <w:end w:w="120" w:type="dxa"/>
            </w:tcMar>
            <w:vAlign w:val="center"/>
          </w:tcPr>
          <w:p>
            <w:pPr>
              <w:spacing w:after="0" w:line="252" w:lineRule="auto"/>
            </w:pPr>
            <w:r>
              <w:rPr>
                <w:rFonts w:ascii="Aptos" w:hAnsi="Aptos"/>
                <w:b w:val="0"/>
                <w:i w:val="0"/>
                <w:color w:val="24323D"/>
                <w:sz w:val="18"/>
              </w:rPr>
            </w:r>
          </w:p>
        </w:tc>
      </w:tr>
      <w:tr>
        <w:tc>
          <w:tcPr>
            <w:tcW w:type="dxa" w:w="6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Total essential monthly expense</w:t>
            </w:r>
          </w:p>
        </w:tc>
        <w:tc>
          <w:tcPr>
            <w:tcW w:type="dxa" w:w="33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r>
          </w:p>
        </w:tc>
      </w:tr>
    </w:tbl>
    <w:p>
      <w:pPr>
        <w:spacing w:after="20"/>
      </w:pPr>
    </w:p>
    <w:p>
      <w:pPr>
        <w:widowControl/>
      </w:pPr>
      <w:r>
        <w:rPr>
          <w:rFonts w:ascii="Aptos" w:hAnsi="Aptos"/>
          <w:b w:val="0"/>
          <w:i w:val="0"/>
          <w:color w:val="24323D"/>
          <w:sz w:val="21"/>
        </w:rPr>
        <w:t>Target months of cover: __________   ×   Essential monthly expense ₹ __________   =   Target ₹ __________</w:t>
      </w:r>
    </w:p>
    <w:p>
      <w:pPr>
        <w:widowControl/>
      </w:pPr>
      <w:r>
        <w:rPr>
          <w:rFonts w:ascii="Aptos" w:hAnsi="Aptos"/>
          <w:b w:val="0"/>
          <w:i w:val="0"/>
          <w:color w:val="24323D"/>
          <w:sz w:val="21"/>
        </w:rPr>
        <w:t>Current accessible emergency money: ₹ ____________________</w:t>
      </w:r>
    </w:p>
    <w:p>
      <w:pPr>
        <w:widowControl/>
      </w:pPr>
      <w:r>
        <w:rPr>
          <w:rFonts w:ascii="Aptos" w:hAnsi="Aptos"/>
          <w:b w:val="0"/>
          <w:i w:val="0"/>
          <w:color w:val="24323D"/>
          <w:sz w:val="21"/>
        </w:rPr>
        <w:t>Gap to build: ₹ ____________________   Monthly contribution: ₹ ____________________</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CHECK THE JOB</w:t>
            </w:r>
          </w:p>
          <w:p>
            <w:pPr>
              <w:spacing w:after="0"/>
            </w:pPr>
            <w:r>
              <w:rPr>
                <w:rFonts w:ascii="Aptos" w:hAnsi="Aptos"/>
                <w:b w:val="0"/>
                <w:i w:val="0"/>
                <w:color w:val="24323D"/>
                <w:sz w:val="20"/>
              </w:rPr>
              <w:t>Emergency money should be accessible and understandable. Record where it is held, who can access it and what counts as an emergency in your family.</w:t>
            </w:r>
          </w:p>
        </w:tc>
      </w:tr>
    </w:tbl>
    <w:p>
      <w:pPr>
        <w:spacing w:after="20"/>
      </w:pPr>
    </w:p>
    <w:p>
      <w:pPr>
        <w:pStyle w:val="Heading1"/>
      </w:pPr>
      <w:r>
        <w:t>4. Goals: give every rupee one job</w:t>
      </w:r>
    </w:p>
    <w:tbl>
      <w:tblPr>
        <w:tblStyle w:val="TableGrid"/>
        <w:tblW w:type="dxa" w:w="9360"/>
        <w:jc w:val="center"/>
        <w:tblLayout w:type="fixed"/>
        <w:tblLook w:firstColumn="1" w:firstRow="1" w:lastColumn="0" w:lastRow="0" w:noHBand="0" w:noVBand="1" w:val="04A0"/>
        <w:tblInd w:w="120" w:type="dxa"/>
      </w:tblPr>
      <w:tblGrid>
        <w:gridCol w:w="1700"/>
        <w:gridCol w:w="1200"/>
        <w:gridCol w:w="1450"/>
        <w:gridCol w:w="1450"/>
        <w:gridCol w:w="1400"/>
        <w:gridCol w:w="2160"/>
      </w:tblGrid>
      <w:tr>
        <w:trPr>
          <w:tblHeader w:val="true"/>
        </w:trPr>
        <w:tc>
          <w:tcPr>
            <w:tcW w:type="dxa" w:w="1700"/>
            <w:tcMar>
              <w:top w:w="90" w:type="dxa"/>
              <w:start w:w="120" w:type="dxa"/>
              <w:bottom w:w="90" w:type="dxa"/>
              <w:end w:w="120" w:type="dxa"/>
            </w:tcMar>
            <w:shd w:fill="24445C"/>
            <w:vAlign w:val="center"/>
          </w:tcPr>
          <w:p>
            <w:pPr>
              <w:spacing w:after="0"/>
            </w:pPr>
            <w:r>
              <w:rPr>
                <w:rFonts w:ascii="Aptos" w:hAnsi="Aptos"/>
                <w:b/>
                <w:i w:val="0"/>
                <w:color w:val="FFFFFF"/>
                <w:sz w:val="18"/>
              </w:rPr>
              <w:t>Goal</w:t>
            </w:r>
          </w:p>
        </w:tc>
        <w:tc>
          <w:tcPr>
            <w:tcW w:type="dxa" w:w="1200"/>
            <w:tcMar>
              <w:top w:w="90" w:type="dxa"/>
              <w:start w:w="120" w:type="dxa"/>
              <w:bottom w:w="90" w:type="dxa"/>
              <w:end w:w="120" w:type="dxa"/>
            </w:tcMar>
            <w:shd w:fill="24445C"/>
            <w:vAlign w:val="center"/>
          </w:tcPr>
          <w:p>
            <w:pPr>
              <w:spacing w:after="0"/>
            </w:pPr>
            <w:r>
              <w:rPr>
                <w:rFonts w:ascii="Aptos" w:hAnsi="Aptos"/>
                <w:b/>
                <w:i w:val="0"/>
                <w:color w:val="FFFFFF"/>
                <w:sz w:val="18"/>
              </w:rPr>
              <w:t>Target date</w:t>
            </w:r>
          </w:p>
        </w:tc>
        <w:tc>
          <w:tcPr>
            <w:tcW w:type="dxa" w:w="1450"/>
            <w:tcMar>
              <w:top w:w="90" w:type="dxa"/>
              <w:start w:w="120" w:type="dxa"/>
              <w:bottom w:w="90" w:type="dxa"/>
              <w:end w:w="120" w:type="dxa"/>
            </w:tcMar>
            <w:shd w:fill="24445C"/>
            <w:vAlign w:val="center"/>
          </w:tcPr>
          <w:p>
            <w:pPr>
              <w:spacing w:after="0"/>
            </w:pPr>
            <w:r>
              <w:rPr>
                <w:rFonts w:ascii="Aptos" w:hAnsi="Aptos"/>
                <w:b/>
                <w:i w:val="0"/>
                <w:color w:val="FFFFFF"/>
                <w:sz w:val="18"/>
              </w:rPr>
              <w:t>Target amount</w:t>
            </w:r>
          </w:p>
        </w:tc>
        <w:tc>
          <w:tcPr>
            <w:tcW w:type="dxa" w:w="1450"/>
            <w:tcMar>
              <w:top w:w="90" w:type="dxa"/>
              <w:start w:w="120" w:type="dxa"/>
              <w:bottom w:w="90" w:type="dxa"/>
              <w:end w:w="120" w:type="dxa"/>
            </w:tcMar>
            <w:shd w:fill="24445C"/>
            <w:vAlign w:val="center"/>
          </w:tcPr>
          <w:p>
            <w:pPr>
              <w:spacing w:after="0"/>
            </w:pPr>
            <w:r>
              <w:rPr>
                <w:rFonts w:ascii="Aptos" w:hAnsi="Aptos"/>
                <w:b/>
                <w:i w:val="0"/>
                <w:color w:val="FFFFFF"/>
                <w:sz w:val="18"/>
              </w:rPr>
              <w:t>Current amount</w:t>
            </w:r>
          </w:p>
        </w:tc>
        <w:tc>
          <w:tcPr>
            <w:tcW w:type="dxa" w:w="1400"/>
            <w:tcMar>
              <w:top w:w="90" w:type="dxa"/>
              <w:start w:w="120" w:type="dxa"/>
              <w:bottom w:w="90" w:type="dxa"/>
              <w:end w:w="120" w:type="dxa"/>
            </w:tcMar>
            <w:shd w:fill="24445C"/>
            <w:vAlign w:val="center"/>
          </w:tcPr>
          <w:p>
            <w:pPr>
              <w:spacing w:after="0"/>
            </w:pPr>
            <w:r>
              <w:rPr>
                <w:rFonts w:ascii="Aptos" w:hAnsi="Aptos"/>
                <w:b/>
                <w:i w:val="0"/>
                <w:color w:val="FFFFFF"/>
                <w:sz w:val="18"/>
              </w:rPr>
              <w:t>Monthly step</w:t>
            </w:r>
          </w:p>
        </w:tc>
        <w:tc>
          <w:tcPr>
            <w:tcW w:type="dxa" w:w="2160"/>
            <w:tcMar>
              <w:top w:w="90" w:type="dxa"/>
              <w:start w:w="120" w:type="dxa"/>
              <w:bottom w:w="90" w:type="dxa"/>
              <w:end w:w="120" w:type="dxa"/>
            </w:tcMar>
            <w:shd w:fill="24445C"/>
            <w:vAlign w:val="center"/>
          </w:tcPr>
          <w:p>
            <w:pPr>
              <w:spacing w:after="0"/>
            </w:pPr>
            <w:r>
              <w:rPr>
                <w:rFonts w:ascii="Aptos" w:hAnsi="Aptos"/>
                <w:b/>
                <w:i w:val="0"/>
                <w:color w:val="FFFFFF"/>
                <w:sz w:val="18"/>
              </w:rPr>
              <w:t>Product / account to review</w:t>
            </w:r>
          </w:p>
        </w:tc>
      </w:tr>
      <w:tr>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6"/>
              </w:rPr>
              <w:t>Safety</w:t>
            </w:r>
          </w:p>
        </w:tc>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216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Child’s education</w:t>
            </w:r>
          </w:p>
        </w:tc>
        <w:tc>
          <w:tcPr>
            <w:tcW w:type="dxa" w:w="1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4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2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r>
      <w:tr>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6"/>
              </w:rPr>
              <w:t>Retirement</w:t>
            </w:r>
          </w:p>
        </w:tc>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216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Home / major purchase</w:t>
            </w:r>
          </w:p>
        </w:tc>
        <w:tc>
          <w:tcPr>
            <w:tcW w:type="dxa" w:w="1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4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2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r>
      <w:tr>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6"/>
              </w:rPr>
              <w:t>My learning / career</w:t>
            </w:r>
          </w:p>
        </w:tc>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216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Family experience / travel</w:t>
            </w:r>
          </w:p>
        </w:tc>
        <w:tc>
          <w:tcPr>
            <w:tcW w:type="dxa" w:w="1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4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2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r>
      <w:tr>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6"/>
              </w:rPr>
              <w:t>Other</w:t>
            </w:r>
          </w:p>
        </w:tc>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216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PRIORITY CHECK</w:t>
            </w:r>
          </w:p>
          <w:p>
            <w:pPr>
              <w:spacing w:after="0"/>
            </w:pPr>
            <w:r>
              <w:rPr>
                <w:rFonts w:ascii="Aptos" w:hAnsi="Aptos"/>
                <w:b w:val="0"/>
                <w:i w:val="0"/>
                <w:color w:val="24323D"/>
                <w:sz w:val="20"/>
              </w:rPr>
              <w:t>A goal can be important without being first. Protect the foundation—cash flow, emergency savings and suitable insurance—before stretching the family budget for distant dreams.</w:t>
            </w:r>
          </w:p>
        </w:tc>
      </w:tr>
    </w:tbl>
    <w:p>
      <w:pPr>
        <w:spacing w:after="20"/>
      </w:pPr>
    </w:p>
    <w:p>
      <w:pPr>
        <w:pStyle w:val="Heading1"/>
      </w:pPr>
      <w:r>
        <w:t>5. Debt map</w:t>
      </w:r>
    </w:p>
    <w:tbl>
      <w:tblPr>
        <w:tblStyle w:val="TableGrid"/>
        <w:tblW w:type="dxa" w:w="9360"/>
        <w:jc w:val="center"/>
        <w:tblLayout w:type="fixed"/>
        <w:tblLook w:firstColumn="1" w:firstRow="1" w:lastColumn="0" w:lastRow="0" w:noHBand="0" w:noVBand="1" w:val="04A0"/>
        <w:tblInd w:w="120" w:type="dxa"/>
      </w:tblPr>
      <w:tblGrid>
        <w:gridCol w:w="1700"/>
        <w:gridCol w:w="1450"/>
        <w:gridCol w:w="900"/>
        <w:gridCol w:w="1450"/>
        <w:gridCol w:w="1200"/>
        <w:gridCol w:w="2660"/>
      </w:tblGrid>
      <w:tr>
        <w:trPr>
          <w:tblHeader w:val="true"/>
        </w:trPr>
        <w:tc>
          <w:tcPr>
            <w:tcW w:type="dxa" w:w="1700"/>
            <w:tcMar>
              <w:top w:w="90" w:type="dxa"/>
              <w:start w:w="120" w:type="dxa"/>
              <w:bottom w:w="90" w:type="dxa"/>
              <w:end w:w="120" w:type="dxa"/>
            </w:tcMar>
            <w:shd w:fill="24445C"/>
            <w:vAlign w:val="center"/>
          </w:tcPr>
          <w:p>
            <w:pPr>
              <w:spacing w:after="0"/>
            </w:pPr>
            <w:r>
              <w:rPr>
                <w:rFonts w:ascii="Aptos" w:hAnsi="Aptos"/>
                <w:b/>
                <w:i w:val="0"/>
                <w:color w:val="FFFFFF"/>
                <w:sz w:val="18"/>
              </w:rPr>
              <w:t>Loan / card</w:t>
            </w:r>
          </w:p>
        </w:tc>
        <w:tc>
          <w:tcPr>
            <w:tcW w:type="dxa" w:w="1450"/>
            <w:tcMar>
              <w:top w:w="90" w:type="dxa"/>
              <w:start w:w="120" w:type="dxa"/>
              <w:bottom w:w="90" w:type="dxa"/>
              <w:end w:w="120" w:type="dxa"/>
            </w:tcMar>
            <w:shd w:fill="24445C"/>
            <w:vAlign w:val="center"/>
          </w:tcPr>
          <w:p>
            <w:pPr>
              <w:spacing w:after="0"/>
            </w:pPr>
            <w:r>
              <w:rPr>
                <w:rFonts w:ascii="Aptos" w:hAnsi="Aptos"/>
                <w:b/>
                <w:i w:val="0"/>
                <w:color w:val="FFFFFF"/>
                <w:sz w:val="18"/>
              </w:rPr>
              <w:t>Outstanding (₹)</w:t>
            </w:r>
          </w:p>
        </w:tc>
        <w:tc>
          <w:tcPr>
            <w:tcW w:type="dxa" w:w="900"/>
            <w:tcMar>
              <w:top w:w="90" w:type="dxa"/>
              <w:start w:w="120" w:type="dxa"/>
              <w:bottom w:w="90" w:type="dxa"/>
              <w:end w:w="120" w:type="dxa"/>
            </w:tcMar>
            <w:shd w:fill="24445C"/>
            <w:vAlign w:val="center"/>
          </w:tcPr>
          <w:p>
            <w:pPr>
              <w:spacing w:after="0"/>
            </w:pPr>
            <w:r>
              <w:rPr>
                <w:rFonts w:ascii="Aptos" w:hAnsi="Aptos"/>
                <w:b/>
                <w:i w:val="0"/>
                <w:color w:val="FFFFFF"/>
                <w:sz w:val="18"/>
              </w:rPr>
              <w:t>Rate</w:t>
            </w:r>
          </w:p>
        </w:tc>
        <w:tc>
          <w:tcPr>
            <w:tcW w:type="dxa" w:w="1450"/>
            <w:tcMar>
              <w:top w:w="90" w:type="dxa"/>
              <w:start w:w="120" w:type="dxa"/>
              <w:bottom w:w="90" w:type="dxa"/>
              <w:end w:w="120" w:type="dxa"/>
            </w:tcMar>
            <w:shd w:fill="24445C"/>
            <w:vAlign w:val="center"/>
          </w:tcPr>
          <w:p>
            <w:pPr>
              <w:spacing w:after="0"/>
            </w:pPr>
            <w:r>
              <w:rPr>
                <w:rFonts w:ascii="Aptos" w:hAnsi="Aptos"/>
                <w:b/>
                <w:i w:val="0"/>
                <w:color w:val="FFFFFF"/>
                <w:sz w:val="18"/>
              </w:rPr>
              <w:t>EMI / minimum</w:t>
            </w:r>
          </w:p>
        </w:tc>
        <w:tc>
          <w:tcPr>
            <w:tcW w:type="dxa" w:w="1200"/>
            <w:tcMar>
              <w:top w:w="90" w:type="dxa"/>
              <w:start w:w="120" w:type="dxa"/>
              <w:bottom w:w="90" w:type="dxa"/>
              <w:end w:w="120" w:type="dxa"/>
            </w:tcMar>
            <w:shd w:fill="24445C"/>
            <w:vAlign w:val="center"/>
          </w:tcPr>
          <w:p>
            <w:pPr>
              <w:spacing w:after="0"/>
            </w:pPr>
            <w:r>
              <w:rPr>
                <w:rFonts w:ascii="Aptos" w:hAnsi="Aptos"/>
                <w:b/>
                <w:i w:val="0"/>
                <w:color w:val="FFFFFF"/>
                <w:sz w:val="18"/>
              </w:rPr>
              <w:t>End date</w:t>
            </w:r>
          </w:p>
        </w:tc>
        <w:tc>
          <w:tcPr>
            <w:tcW w:type="dxa" w:w="2660"/>
            <w:tcMar>
              <w:top w:w="90" w:type="dxa"/>
              <w:start w:w="120" w:type="dxa"/>
              <w:bottom w:w="90" w:type="dxa"/>
              <w:end w:w="120" w:type="dxa"/>
            </w:tcMar>
            <w:shd w:fill="24445C"/>
            <w:vAlign w:val="center"/>
          </w:tcPr>
          <w:p>
            <w:pPr>
              <w:spacing w:after="0"/>
            </w:pPr>
            <w:r>
              <w:rPr>
                <w:rFonts w:ascii="Aptos" w:hAnsi="Aptos"/>
                <w:b/>
                <w:i w:val="0"/>
                <w:color w:val="FFFFFF"/>
                <w:sz w:val="18"/>
              </w:rPr>
              <w:t>Prepayment rules / next action</w:t>
            </w:r>
          </w:p>
        </w:tc>
      </w:tr>
      <w:tr>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266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26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r>
      <w:tr>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2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266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4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26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r>
    </w:tbl>
    <w:p>
      <w:pPr>
        <w:spacing w:after="20"/>
      </w:pPr>
    </w:p>
    <w:p>
      <w:pPr>
        <w:widowControl/>
      </w:pPr>
      <w:r>
        <w:rPr>
          <w:rFonts w:ascii="Aptos" w:hAnsi="Aptos"/>
          <w:b w:val="0"/>
          <w:i w:val="0"/>
          <w:color w:val="24323D"/>
          <w:sz w:val="21"/>
        </w:rPr>
        <w:t>The debt I want to understand or reduce first is: ______________________________________________</w:t>
      </w:r>
    </w:p>
    <w:p>
      <w:pPr>
        <w:widowControl/>
      </w:pPr>
      <w:r>
        <w:rPr>
          <w:rFonts w:ascii="Aptos" w:hAnsi="Aptos"/>
          <w:b w:val="0"/>
          <w:i w:val="0"/>
          <w:color w:val="24323D"/>
          <w:sz w:val="21"/>
        </w:rPr>
        <w:t>One action this month: ______________________________________________________________________</w:t>
      </w:r>
    </w:p>
    <w:p>
      <w:pPr>
        <w:pStyle w:val="Heading1"/>
      </w:pPr>
      <w:r>
        <w:t>6. Insurance inventory</w:t>
      </w:r>
    </w:p>
    <w:tbl>
      <w:tblPr>
        <w:tblStyle w:val="TableGrid"/>
        <w:tblW w:type="dxa" w:w="9360"/>
        <w:jc w:val="center"/>
        <w:tblLayout w:type="fixed"/>
        <w:tblLook w:firstColumn="1" w:firstRow="1" w:lastColumn="0" w:lastRow="0" w:noHBand="0" w:noVBand="1" w:val="04A0"/>
        <w:tblInd w:w="120" w:type="dxa"/>
      </w:tblPr>
      <w:tblGrid>
        <w:gridCol w:w="1900"/>
        <w:gridCol w:w="1500"/>
        <w:gridCol w:w="1750"/>
        <w:gridCol w:w="1300"/>
        <w:gridCol w:w="1300"/>
        <w:gridCol w:w="1610"/>
      </w:tblGrid>
      <w:tr>
        <w:trPr>
          <w:tblHeader w:val="true"/>
        </w:trPr>
        <w:tc>
          <w:tcPr>
            <w:tcW w:type="dxa" w:w="1900"/>
            <w:tcMar>
              <w:top w:w="90" w:type="dxa"/>
              <w:start w:w="120" w:type="dxa"/>
              <w:bottom w:w="90" w:type="dxa"/>
              <w:end w:w="120" w:type="dxa"/>
            </w:tcMar>
            <w:shd w:fill="24445C"/>
            <w:vAlign w:val="center"/>
          </w:tcPr>
          <w:p>
            <w:pPr>
              <w:spacing w:after="0"/>
            </w:pPr>
            <w:r>
              <w:rPr>
                <w:rFonts w:ascii="Aptos" w:hAnsi="Aptos"/>
                <w:b/>
                <w:i w:val="0"/>
                <w:color w:val="FFFFFF"/>
                <w:sz w:val="18"/>
              </w:rPr>
              <w:t>Policy / insurer</w:t>
            </w:r>
          </w:p>
        </w:tc>
        <w:tc>
          <w:tcPr>
            <w:tcW w:type="dxa" w:w="1500"/>
            <w:tcMar>
              <w:top w:w="90" w:type="dxa"/>
              <w:start w:w="120" w:type="dxa"/>
              <w:bottom w:w="90" w:type="dxa"/>
              <w:end w:w="120" w:type="dxa"/>
            </w:tcMar>
            <w:shd w:fill="24445C"/>
            <w:vAlign w:val="center"/>
          </w:tcPr>
          <w:p>
            <w:pPr>
              <w:spacing w:after="0"/>
            </w:pPr>
            <w:r>
              <w:rPr>
                <w:rFonts w:ascii="Aptos" w:hAnsi="Aptos"/>
                <w:b/>
                <w:i w:val="0"/>
                <w:color w:val="FFFFFF"/>
                <w:sz w:val="18"/>
              </w:rPr>
              <w:t>Person covered</w:t>
            </w:r>
          </w:p>
        </w:tc>
        <w:tc>
          <w:tcPr>
            <w:tcW w:type="dxa" w:w="1750"/>
            <w:tcMar>
              <w:top w:w="90" w:type="dxa"/>
              <w:start w:w="120" w:type="dxa"/>
              <w:bottom w:w="90" w:type="dxa"/>
              <w:end w:w="120" w:type="dxa"/>
            </w:tcMar>
            <w:shd w:fill="24445C"/>
            <w:vAlign w:val="center"/>
          </w:tcPr>
          <w:p>
            <w:pPr>
              <w:spacing w:after="0"/>
            </w:pPr>
            <w:r>
              <w:rPr>
                <w:rFonts w:ascii="Aptos" w:hAnsi="Aptos"/>
                <w:b/>
                <w:i w:val="0"/>
                <w:color w:val="FFFFFF"/>
                <w:sz w:val="18"/>
              </w:rPr>
              <w:t>Main cover</w:t>
            </w:r>
          </w:p>
        </w:tc>
        <w:tc>
          <w:tcPr>
            <w:tcW w:type="dxa" w:w="1300"/>
            <w:tcMar>
              <w:top w:w="90" w:type="dxa"/>
              <w:start w:w="120" w:type="dxa"/>
              <w:bottom w:w="90" w:type="dxa"/>
              <w:end w:w="120" w:type="dxa"/>
            </w:tcMar>
            <w:shd w:fill="24445C"/>
            <w:vAlign w:val="center"/>
          </w:tcPr>
          <w:p>
            <w:pPr>
              <w:spacing w:after="0"/>
            </w:pPr>
            <w:r>
              <w:rPr>
                <w:rFonts w:ascii="Aptos" w:hAnsi="Aptos"/>
                <w:b/>
                <w:i w:val="0"/>
                <w:color w:val="FFFFFF"/>
                <w:sz w:val="18"/>
              </w:rPr>
              <w:t>Renewal date</w:t>
            </w:r>
          </w:p>
        </w:tc>
        <w:tc>
          <w:tcPr>
            <w:tcW w:type="dxa" w:w="1300"/>
            <w:tcMar>
              <w:top w:w="90" w:type="dxa"/>
              <w:start w:w="120" w:type="dxa"/>
              <w:bottom w:w="90" w:type="dxa"/>
              <w:end w:w="120" w:type="dxa"/>
            </w:tcMar>
            <w:shd w:fill="24445C"/>
            <w:vAlign w:val="center"/>
          </w:tcPr>
          <w:p>
            <w:pPr>
              <w:spacing w:after="0"/>
            </w:pPr>
            <w:r>
              <w:rPr>
                <w:rFonts w:ascii="Aptos" w:hAnsi="Aptos"/>
                <w:b/>
                <w:i w:val="0"/>
                <w:color w:val="FFFFFF"/>
                <w:sz w:val="18"/>
              </w:rPr>
              <w:t>Nominee</w:t>
            </w:r>
          </w:p>
        </w:tc>
        <w:tc>
          <w:tcPr>
            <w:tcW w:type="dxa" w:w="1610"/>
            <w:tcMar>
              <w:top w:w="90" w:type="dxa"/>
              <w:start w:w="120" w:type="dxa"/>
              <w:bottom w:w="90" w:type="dxa"/>
              <w:end w:w="120" w:type="dxa"/>
            </w:tcMar>
            <w:shd w:fill="24445C"/>
            <w:vAlign w:val="center"/>
          </w:tcPr>
          <w:p>
            <w:pPr>
              <w:spacing w:after="0"/>
            </w:pPr>
            <w:r>
              <w:rPr>
                <w:rFonts w:ascii="Aptos" w:hAnsi="Aptos"/>
                <w:b/>
                <w:i w:val="0"/>
                <w:color w:val="FFFFFF"/>
                <w:sz w:val="18"/>
              </w:rPr>
              <w:t>Question / gap</w:t>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24323D"/>
                <w:sz w:val="16"/>
              </w:rPr>
              <w:t>Health</w:t>
            </w:r>
          </w:p>
        </w:tc>
        <w:tc>
          <w:tcPr>
            <w:tcW w:type="dxa" w:w="15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7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3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3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61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Life / term</w:t>
            </w:r>
          </w:p>
        </w:tc>
        <w:tc>
          <w:tcPr>
            <w:tcW w:type="dxa" w:w="1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7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3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3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61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24323D"/>
                <w:sz w:val="16"/>
              </w:rPr>
              <w:t>Personal accident</w:t>
            </w:r>
          </w:p>
        </w:tc>
        <w:tc>
          <w:tcPr>
            <w:tcW w:type="dxa" w:w="15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7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3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3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61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Home / motor / other</w:t>
            </w:r>
          </w:p>
        </w:tc>
        <w:tc>
          <w:tcPr>
            <w:tcW w:type="dxa" w:w="1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7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3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3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61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r>
    </w:tbl>
    <w:p>
      <w:pPr>
        <w:spacing w:after="20"/>
      </w:pPr>
    </w:p>
    <w:p>
      <w:pPr>
        <w:pStyle w:val="ListBullet"/>
        <w:spacing w:after="60"/>
        <w:ind w:left="504" w:hanging="259"/>
      </w:pPr>
      <w:r>
        <w:rPr>
          <w:rFonts w:ascii="Aptos" w:hAnsi="Aptos"/>
          <w:b w:val="0"/>
          <w:i w:val="0"/>
          <w:color w:val="24323D"/>
          <w:sz w:val="20"/>
        </w:rPr>
        <w:t>Read the policy schedule and exclusions, not only the premium receipt.</w:t>
      </w:r>
    </w:p>
    <w:p>
      <w:pPr>
        <w:pStyle w:val="ListBullet"/>
        <w:spacing w:after="60"/>
        <w:ind w:left="504" w:hanging="259"/>
      </w:pPr>
      <w:r>
        <w:rPr>
          <w:rFonts w:ascii="Aptos" w:hAnsi="Aptos"/>
          <w:b w:val="0"/>
          <w:i w:val="0"/>
          <w:color w:val="24323D"/>
          <w:sz w:val="20"/>
        </w:rPr>
        <w:t>Check whether employer cover would continue after a job change.</w:t>
      </w:r>
    </w:p>
    <w:p>
      <w:pPr>
        <w:pStyle w:val="ListBullet"/>
        <w:spacing w:after="60"/>
        <w:ind w:left="504" w:hanging="259"/>
      </w:pPr>
      <w:r>
        <w:rPr>
          <w:rFonts w:ascii="Aptos" w:hAnsi="Aptos"/>
          <w:b w:val="0"/>
          <w:i w:val="0"/>
          <w:color w:val="24323D"/>
          <w:sz w:val="20"/>
        </w:rPr>
        <w:t>Record claim contacts and the physical/digital location of documents.</w:t>
      </w:r>
    </w:p>
    <w:p>
      <w:pPr>
        <w:pStyle w:val="ListBullet"/>
        <w:spacing w:after="60"/>
        <w:ind w:left="504" w:hanging="259"/>
      </w:pPr>
      <w:r>
        <w:rPr>
          <w:rFonts w:ascii="Aptos" w:hAnsi="Aptos"/>
          <w:b w:val="0"/>
          <w:i w:val="0"/>
          <w:color w:val="24323D"/>
          <w:sz w:val="20"/>
        </w:rPr>
        <w:t>Review cover after childbirth, a home loan, income change or new dependant.</w:t>
      </w:r>
    </w:p>
    <w:p>
      <w:pPr>
        <w:pStyle w:val="Heading1"/>
      </w:pPr>
      <w:r>
        <w:t>7. Investment inventory</w:t>
      </w:r>
    </w:p>
    <w:tbl>
      <w:tblPr>
        <w:tblStyle w:val="TableGrid"/>
        <w:tblW w:type="dxa" w:w="9360"/>
        <w:jc w:val="center"/>
        <w:tblLayout w:type="fixed"/>
        <w:tblLook w:firstColumn="1" w:firstRow="1" w:lastColumn="0" w:lastRow="0" w:noHBand="0" w:noVBand="1" w:val="04A0"/>
        <w:tblInd w:w="120" w:type="dxa"/>
      </w:tblPr>
      <w:tblGrid>
        <w:gridCol w:w="2200"/>
        <w:gridCol w:w="1050"/>
        <w:gridCol w:w="1650"/>
        <w:gridCol w:w="1700"/>
        <w:gridCol w:w="1300"/>
        <w:gridCol w:w="1460"/>
      </w:tblGrid>
      <w:tr>
        <w:trPr>
          <w:tblHeader w:val="true"/>
        </w:trPr>
        <w:tc>
          <w:tcPr>
            <w:tcW w:type="dxa" w:w="2200"/>
            <w:tcMar>
              <w:top w:w="90" w:type="dxa"/>
              <w:start w:w="120" w:type="dxa"/>
              <w:bottom w:w="90" w:type="dxa"/>
              <w:end w:w="120" w:type="dxa"/>
            </w:tcMar>
            <w:shd w:fill="24445C"/>
            <w:vAlign w:val="center"/>
          </w:tcPr>
          <w:p>
            <w:pPr>
              <w:spacing w:after="0"/>
            </w:pPr>
            <w:r>
              <w:rPr>
                <w:rFonts w:ascii="Aptos" w:hAnsi="Aptos"/>
                <w:b/>
                <w:i w:val="0"/>
                <w:color w:val="FFFFFF"/>
                <w:sz w:val="18"/>
              </w:rPr>
              <w:t>Investment / account</w:t>
            </w:r>
          </w:p>
        </w:tc>
        <w:tc>
          <w:tcPr>
            <w:tcW w:type="dxa" w:w="1050"/>
            <w:tcMar>
              <w:top w:w="90" w:type="dxa"/>
              <w:start w:w="120" w:type="dxa"/>
              <w:bottom w:w="90" w:type="dxa"/>
              <w:end w:w="120" w:type="dxa"/>
            </w:tcMar>
            <w:shd w:fill="24445C"/>
            <w:vAlign w:val="center"/>
          </w:tcPr>
          <w:p>
            <w:pPr>
              <w:spacing w:after="0"/>
            </w:pPr>
            <w:r>
              <w:rPr>
                <w:rFonts w:ascii="Aptos" w:hAnsi="Aptos"/>
                <w:b/>
                <w:i w:val="0"/>
                <w:color w:val="FFFFFF"/>
                <w:sz w:val="18"/>
              </w:rPr>
              <w:t>Owner</w:t>
            </w:r>
          </w:p>
        </w:tc>
        <w:tc>
          <w:tcPr>
            <w:tcW w:type="dxa" w:w="1650"/>
            <w:tcMar>
              <w:top w:w="90" w:type="dxa"/>
              <w:start w:w="120" w:type="dxa"/>
              <w:bottom w:w="90" w:type="dxa"/>
              <w:end w:w="120" w:type="dxa"/>
            </w:tcMar>
            <w:shd w:fill="24445C"/>
            <w:vAlign w:val="center"/>
          </w:tcPr>
          <w:p>
            <w:pPr>
              <w:spacing w:after="0"/>
            </w:pPr>
            <w:r>
              <w:rPr>
                <w:rFonts w:ascii="Aptos" w:hAnsi="Aptos"/>
                <w:b/>
                <w:i w:val="0"/>
                <w:color w:val="FFFFFF"/>
                <w:sz w:val="18"/>
              </w:rPr>
              <w:t>Goal</w:t>
            </w:r>
          </w:p>
        </w:tc>
        <w:tc>
          <w:tcPr>
            <w:tcW w:type="dxa" w:w="1700"/>
            <w:tcMar>
              <w:top w:w="90" w:type="dxa"/>
              <w:start w:w="120" w:type="dxa"/>
              <w:bottom w:w="90" w:type="dxa"/>
              <w:end w:w="120" w:type="dxa"/>
            </w:tcMar>
            <w:shd w:fill="24445C"/>
            <w:vAlign w:val="center"/>
          </w:tcPr>
          <w:p>
            <w:pPr>
              <w:spacing w:after="0"/>
            </w:pPr>
            <w:r>
              <w:rPr>
                <w:rFonts w:ascii="Aptos" w:hAnsi="Aptos"/>
                <w:b/>
                <w:i w:val="0"/>
                <w:color w:val="FFFFFF"/>
                <w:sz w:val="18"/>
              </w:rPr>
              <w:t>Value / date</w:t>
            </w:r>
          </w:p>
        </w:tc>
        <w:tc>
          <w:tcPr>
            <w:tcW w:type="dxa" w:w="1300"/>
            <w:tcMar>
              <w:top w:w="90" w:type="dxa"/>
              <w:start w:w="120" w:type="dxa"/>
              <w:bottom w:w="90" w:type="dxa"/>
              <w:end w:w="120" w:type="dxa"/>
            </w:tcMar>
            <w:shd w:fill="24445C"/>
            <w:vAlign w:val="center"/>
          </w:tcPr>
          <w:p>
            <w:pPr>
              <w:spacing w:after="0"/>
            </w:pPr>
            <w:r>
              <w:rPr>
                <w:rFonts w:ascii="Aptos" w:hAnsi="Aptos"/>
                <w:b/>
                <w:i w:val="0"/>
                <w:color w:val="FFFFFF"/>
                <w:sz w:val="18"/>
              </w:rPr>
              <w:t>Nominee</w:t>
            </w:r>
          </w:p>
        </w:tc>
        <w:tc>
          <w:tcPr>
            <w:tcW w:type="dxa" w:w="1460"/>
            <w:tcMar>
              <w:top w:w="90" w:type="dxa"/>
              <w:start w:w="120" w:type="dxa"/>
              <w:bottom w:w="90" w:type="dxa"/>
              <w:end w:w="120" w:type="dxa"/>
            </w:tcMar>
            <w:shd w:fill="24445C"/>
            <w:vAlign w:val="center"/>
          </w:tcPr>
          <w:p>
            <w:pPr>
              <w:spacing w:after="0"/>
            </w:pPr>
            <w:r>
              <w:rPr>
                <w:rFonts w:ascii="Aptos" w:hAnsi="Aptos"/>
                <w:b/>
                <w:i w:val="0"/>
                <w:color w:val="FFFFFF"/>
                <w:sz w:val="18"/>
              </w:rPr>
              <w:t>Next review</w:t>
            </w:r>
          </w:p>
        </w:tc>
      </w:tr>
      <w:tr>
        <w:tc>
          <w:tcPr>
            <w:tcW w:type="dxa" w:w="2200"/>
            <w:tcMar>
              <w:top w:w="90" w:type="dxa"/>
              <w:start w:w="120" w:type="dxa"/>
              <w:bottom w:w="90" w:type="dxa"/>
              <w:end w:w="120" w:type="dxa"/>
            </w:tcMar>
            <w:vAlign w:val="center"/>
          </w:tcPr>
          <w:p>
            <w:pPr>
              <w:spacing w:after="0" w:line="252" w:lineRule="auto"/>
            </w:pPr>
            <w:r>
              <w:rPr>
                <w:rFonts w:ascii="Aptos" w:hAnsi="Aptos"/>
                <w:b w:val="0"/>
                <w:i w:val="0"/>
                <w:color w:val="24323D"/>
                <w:sz w:val="16"/>
              </w:rPr>
              <w:t>Bank deposits</w:t>
            </w:r>
          </w:p>
        </w:tc>
        <w:tc>
          <w:tcPr>
            <w:tcW w:type="dxa" w:w="10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6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3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6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r>
      <w:tr>
        <w:tc>
          <w:tcPr>
            <w:tcW w:type="dxa" w:w="2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PPF / EPF / NPS / schemes</w:t>
            </w:r>
          </w:p>
        </w:tc>
        <w:tc>
          <w:tcPr>
            <w:tcW w:type="dxa" w:w="10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6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3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r>
      <w:tr>
        <w:tc>
          <w:tcPr>
            <w:tcW w:type="dxa" w:w="2200"/>
            <w:tcMar>
              <w:top w:w="90" w:type="dxa"/>
              <w:start w:w="120" w:type="dxa"/>
              <w:bottom w:w="90" w:type="dxa"/>
              <w:end w:w="120" w:type="dxa"/>
            </w:tcMar>
            <w:vAlign w:val="center"/>
          </w:tcPr>
          <w:p>
            <w:pPr>
              <w:spacing w:after="0" w:line="252" w:lineRule="auto"/>
            </w:pPr>
            <w:r>
              <w:rPr>
                <w:rFonts w:ascii="Aptos" w:hAnsi="Aptos"/>
                <w:b w:val="0"/>
                <w:i w:val="0"/>
                <w:color w:val="24323D"/>
                <w:sz w:val="16"/>
              </w:rPr>
              <w:t>Mutual funds / ETFs</w:t>
            </w:r>
          </w:p>
        </w:tc>
        <w:tc>
          <w:tcPr>
            <w:tcW w:type="dxa" w:w="10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6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3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6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r>
      <w:tr>
        <w:tc>
          <w:tcPr>
            <w:tcW w:type="dxa" w:w="2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t>Shares / bonds / REITs</w:t>
            </w:r>
          </w:p>
        </w:tc>
        <w:tc>
          <w:tcPr>
            <w:tcW w:type="dxa" w:w="10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6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3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c>
          <w:tcPr>
            <w:tcW w:type="dxa" w:w="1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6"/>
              </w:rPr>
            </w:r>
          </w:p>
        </w:tc>
      </w:tr>
      <w:tr>
        <w:tc>
          <w:tcPr>
            <w:tcW w:type="dxa" w:w="2200"/>
            <w:tcMar>
              <w:top w:w="90" w:type="dxa"/>
              <w:start w:w="120" w:type="dxa"/>
              <w:bottom w:w="90" w:type="dxa"/>
              <w:end w:w="120" w:type="dxa"/>
            </w:tcMar>
            <w:vAlign w:val="center"/>
          </w:tcPr>
          <w:p>
            <w:pPr>
              <w:spacing w:after="0" w:line="252" w:lineRule="auto"/>
            </w:pPr>
            <w:r>
              <w:rPr>
                <w:rFonts w:ascii="Aptos" w:hAnsi="Aptos"/>
                <w:b w:val="0"/>
                <w:i w:val="0"/>
                <w:color w:val="24323D"/>
                <w:sz w:val="16"/>
              </w:rPr>
              <w:t>Gold / property / other</w:t>
            </w:r>
          </w:p>
        </w:tc>
        <w:tc>
          <w:tcPr>
            <w:tcW w:type="dxa" w:w="10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65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30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c>
          <w:tcPr>
            <w:tcW w:type="dxa" w:w="1460"/>
            <w:tcMar>
              <w:top w:w="90" w:type="dxa"/>
              <w:start w:w="120" w:type="dxa"/>
              <w:bottom w:w="90" w:type="dxa"/>
              <w:end w:w="120" w:type="dxa"/>
            </w:tcMar>
            <w:vAlign w:val="center"/>
          </w:tcPr>
          <w:p>
            <w:pPr>
              <w:spacing w:after="0" w:line="252" w:lineRule="auto"/>
            </w:pPr>
            <w:r>
              <w:rPr>
                <w:rFonts w:ascii="Aptos" w:hAnsi="Aptos"/>
                <w:b w:val="0"/>
                <w:i w:val="0"/>
                <w:color w:val="24323D"/>
                <w:sz w:val="16"/>
              </w:rPr>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QUALITY CHECK</w:t>
            </w:r>
          </w:p>
          <w:p>
            <w:pPr>
              <w:spacing w:after="0"/>
            </w:pPr>
            <w:r>
              <w:rPr>
                <w:rFonts w:ascii="Aptos" w:hAnsi="Aptos"/>
                <w:b w:val="0"/>
                <w:i w:val="0"/>
                <w:color w:val="24323D"/>
                <w:sz w:val="20"/>
              </w:rPr>
              <w:t>Can you explain why each investment exists, what could make it lose value, when the money is needed, all costs and how to exit? If not, mark it “understand before adding more.”</w:t>
            </w:r>
          </w:p>
        </w:tc>
      </w:tr>
    </w:tbl>
    <w:p>
      <w:pPr>
        <w:spacing w:after="20"/>
      </w:pPr>
    </w:p>
    <w:p>
      <w:pPr>
        <w:pStyle w:val="Heading1"/>
      </w:pPr>
      <w:r>
        <w:t>8. Family financial folder</w:t>
      </w:r>
    </w:p>
    <w:tbl>
      <w:tblPr>
        <w:tblStyle w:val="TableGrid"/>
        <w:tblW w:type="dxa" w:w="9360"/>
        <w:jc w:val="center"/>
        <w:tblLayout w:type="fixed"/>
        <w:tblLook w:firstColumn="1" w:firstRow="1" w:lastColumn="0" w:lastRow="0" w:noHBand="0" w:noVBand="1" w:val="04A0"/>
        <w:tblInd w:w="120" w:type="dxa"/>
      </w:tblPr>
      <w:tblGrid>
        <w:gridCol w:w="4300"/>
        <w:gridCol w:w="900"/>
        <w:gridCol w:w="4160"/>
      </w:tblGrid>
      <w:tr>
        <w:trPr>
          <w:tblHeader w:val="true"/>
        </w:trPr>
        <w:tc>
          <w:tcPr>
            <w:tcW w:type="dxa" w:w="4300"/>
            <w:tcMar>
              <w:top w:w="90" w:type="dxa"/>
              <w:start w:w="120" w:type="dxa"/>
              <w:bottom w:w="90" w:type="dxa"/>
              <w:end w:w="120" w:type="dxa"/>
            </w:tcMar>
            <w:shd w:fill="24445C"/>
            <w:vAlign w:val="center"/>
          </w:tcPr>
          <w:p>
            <w:pPr>
              <w:spacing w:after="0"/>
            </w:pPr>
            <w:r>
              <w:rPr>
                <w:rFonts w:ascii="Aptos" w:hAnsi="Aptos"/>
                <w:b/>
                <w:i w:val="0"/>
                <w:color w:val="FFFFFF"/>
                <w:sz w:val="18"/>
              </w:rPr>
              <w:t>Document or information</w:t>
            </w:r>
          </w:p>
        </w:tc>
        <w:tc>
          <w:tcPr>
            <w:tcW w:type="dxa" w:w="900"/>
            <w:tcMar>
              <w:top w:w="90" w:type="dxa"/>
              <w:start w:w="120" w:type="dxa"/>
              <w:bottom w:w="90" w:type="dxa"/>
              <w:end w:w="120" w:type="dxa"/>
            </w:tcMar>
            <w:shd w:fill="24445C"/>
            <w:vAlign w:val="center"/>
          </w:tcPr>
          <w:p>
            <w:pPr>
              <w:spacing w:after="0"/>
            </w:pPr>
            <w:r>
              <w:rPr>
                <w:rFonts w:ascii="Aptos" w:hAnsi="Aptos"/>
                <w:b/>
                <w:i w:val="0"/>
                <w:color w:val="FFFFFF"/>
                <w:sz w:val="18"/>
              </w:rPr>
              <w:t>Located?</w:t>
            </w:r>
          </w:p>
        </w:tc>
        <w:tc>
          <w:tcPr>
            <w:tcW w:type="dxa" w:w="4160"/>
            <w:tcMar>
              <w:top w:w="90" w:type="dxa"/>
              <w:start w:w="120" w:type="dxa"/>
              <w:bottom w:w="90" w:type="dxa"/>
              <w:end w:w="120" w:type="dxa"/>
            </w:tcMar>
            <w:shd w:fill="24445C"/>
            <w:vAlign w:val="center"/>
          </w:tcPr>
          <w:p>
            <w:pPr>
              <w:spacing w:after="0"/>
            </w:pPr>
            <w:r>
              <w:rPr>
                <w:rFonts w:ascii="Aptos" w:hAnsi="Aptos"/>
                <w:b/>
                <w:i w:val="0"/>
                <w:color w:val="FFFFFF"/>
                <w:sz w:val="18"/>
              </w:rPr>
              <w:t>Where kept / next action</w:t>
            </w:r>
          </w:p>
        </w:tc>
      </w:tr>
      <w:tr>
        <w:tc>
          <w:tcPr>
            <w:tcW w:type="dxa" w:w="4300"/>
            <w:tcMar>
              <w:top w:w="90" w:type="dxa"/>
              <w:start w:w="120" w:type="dxa"/>
              <w:bottom w:w="90" w:type="dxa"/>
              <w:end w:w="120" w:type="dxa"/>
            </w:tcMar>
            <w:vAlign w:val="center"/>
          </w:tcPr>
          <w:p>
            <w:pPr>
              <w:spacing w:after="0" w:line="252" w:lineRule="auto"/>
            </w:pPr>
            <w:r>
              <w:rPr>
                <w:rFonts w:ascii="Aptos" w:hAnsi="Aptos"/>
                <w:b w:val="0"/>
                <w:i w:val="0"/>
                <w:color w:val="24323D"/>
                <w:sz w:val="17"/>
              </w:rPr>
              <w:t>Bank and deposit list</w:t>
            </w:r>
          </w:p>
        </w:tc>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7"/>
              </w:rPr>
              <w:t>☐</w:t>
            </w:r>
          </w:p>
        </w:tc>
        <w:tc>
          <w:tcPr>
            <w:tcW w:type="dxa" w:w="41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43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Loan statements</w:t>
            </w:r>
          </w:p>
        </w:tc>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t>
            </w:r>
          </w:p>
        </w:tc>
        <w:tc>
          <w:tcPr>
            <w:tcW w:type="dxa" w:w="4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4300"/>
            <w:tcMar>
              <w:top w:w="90" w:type="dxa"/>
              <w:start w:w="120" w:type="dxa"/>
              <w:bottom w:w="90" w:type="dxa"/>
              <w:end w:w="120" w:type="dxa"/>
            </w:tcMar>
            <w:vAlign w:val="center"/>
          </w:tcPr>
          <w:p>
            <w:pPr>
              <w:spacing w:after="0" w:line="252" w:lineRule="auto"/>
            </w:pPr>
            <w:r>
              <w:rPr>
                <w:rFonts w:ascii="Aptos" w:hAnsi="Aptos"/>
                <w:b w:val="0"/>
                <w:i w:val="0"/>
                <w:color w:val="24323D"/>
                <w:sz w:val="17"/>
              </w:rPr>
              <w:t>Insurance schedules and claim contacts</w:t>
            </w:r>
          </w:p>
        </w:tc>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7"/>
              </w:rPr>
              <w:t>☐</w:t>
            </w:r>
          </w:p>
        </w:tc>
        <w:tc>
          <w:tcPr>
            <w:tcW w:type="dxa" w:w="41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43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Investment and retirement statements</w:t>
            </w:r>
          </w:p>
        </w:tc>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t>
            </w:r>
          </w:p>
        </w:tc>
        <w:tc>
          <w:tcPr>
            <w:tcW w:type="dxa" w:w="4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4300"/>
            <w:tcMar>
              <w:top w:w="90" w:type="dxa"/>
              <w:start w:w="120" w:type="dxa"/>
              <w:bottom w:w="90" w:type="dxa"/>
              <w:end w:w="120" w:type="dxa"/>
            </w:tcMar>
            <w:vAlign w:val="center"/>
          </w:tcPr>
          <w:p>
            <w:pPr>
              <w:spacing w:after="0" w:line="252" w:lineRule="auto"/>
            </w:pPr>
            <w:r>
              <w:rPr>
                <w:rFonts w:ascii="Aptos" w:hAnsi="Aptos"/>
                <w:b w:val="0"/>
                <w:i w:val="0"/>
                <w:color w:val="24323D"/>
                <w:sz w:val="17"/>
              </w:rPr>
              <w:t>Property / rental documents</w:t>
            </w:r>
          </w:p>
        </w:tc>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7"/>
              </w:rPr>
              <w:t>☐</w:t>
            </w:r>
          </w:p>
        </w:tc>
        <w:tc>
          <w:tcPr>
            <w:tcW w:type="dxa" w:w="41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43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PAN, tax returns, Form 16/16A and tax records</w:t>
            </w:r>
          </w:p>
        </w:tc>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t>
            </w:r>
          </w:p>
        </w:tc>
        <w:tc>
          <w:tcPr>
            <w:tcW w:type="dxa" w:w="4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4300"/>
            <w:tcMar>
              <w:top w:w="90" w:type="dxa"/>
              <w:start w:w="120" w:type="dxa"/>
              <w:bottom w:w="90" w:type="dxa"/>
              <w:end w:w="120" w:type="dxa"/>
            </w:tcMar>
            <w:vAlign w:val="center"/>
          </w:tcPr>
          <w:p>
            <w:pPr>
              <w:spacing w:after="0" w:line="252" w:lineRule="auto"/>
            </w:pPr>
            <w:r>
              <w:rPr>
                <w:rFonts w:ascii="Aptos" w:hAnsi="Aptos"/>
                <w:b w:val="0"/>
                <w:i w:val="0"/>
                <w:color w:val="24323D"/>
                <w:sz w:val="17"/>
              </w:rPr>
              <w:t>Nomination details</w:t>
            </w:r>
          </w:p>
        </w:tc>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7"/>
              </w:rPr>
              <w:t>☐</w:t>
            </w:r>
          </w:p>
        </w:tc>
        <w:tc>
          <w:tcPr>
            <w:tcW w:type="dxa" w:w="41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43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Will / estate documents, if applicable</w:t>
            </w:r>
          </w:p>
        </w:tc>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t>
            </w:r>
          </w:p>
        </w:tc>
        <w:tc>
          <w:tcPr>
            <w:tcW w:type="dxa" w:w="41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4300"/>
            <w:tcMar>
              <w:top w:w="90" w:type="dxa"/>
              <w:start w:w="120" w:type="dxa"/>
              <w:bottom w:w="90" w:type="dxa"/>
              <w:end w:w="120" w:type="dxa"/>
            </w:tcMar>
            <w:vAlign w:val="center"/>
          </w:tcPr>
          <w:p>
            <w:pPr>
              <w:spacing w:after="0" w:line="252" w:lineRule="auto"/>
            </w:pPr>
            <w:r>
              <w:rPr>
                <w:rFonts w:ascii="Aptos" w:hAnsi="Aptos"/>
                <w:b w:val="0"/>
                <w:i w:val="0"/>
                <w:color w:val="24323D"/>
                <w:sz w:val="17"/>
              </w:rPr>
              <w:t>Emergency and professional contacts</w:t>
            </w:r>
          </w:p>
        </w:tc>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7"/>
              </w:rPr>
              <w:t>☐</w:t>
            </w:r>
          </w:p>
        </w:tc>
        <w:tc>
          <w:tcPr>
            <w:tcW w:type="dxa" w:w="41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SECURITY NOTE</w:t>
            </w:r>
          </w:p>
          <w:p>
            <w:pPr>
              <w:spacing w:after="0"/>
            </w:pPr>
            <w:r>
              <w:rPr>
                <w:rFonts w:ascii="Aptos" w:hAnsi="Aptos"/>
                <w:b w:val="0"/>
                <w:i w:val="0"/>
                <w:color w:val="24323D"/>
                <w:sz w:val="20"/>
              </w:rPr>
              <w:t>Do not write passwords, PINs, CVVs, OTPs or recovery codes here. Use a secure password manager or another appropriate method. The folder should help a trusted person locate institutions and documents—not bypass security.</w:t>
            </w:r>
          </w:p>
        </w:tc>
      </w:tr>
    </w:tbl>
    <w:p>
      <w:pPr>
        <w:spacing w:after="20"/>
      </w:pPr>
    </w:p>
    <w:p>
      <w:pPr>
        <w:pStyle w:val="Heading1"/>
      </w:pPr>
      <w:r>
        <w:t>9. Annual review conversation</w:t>
      </w:r>
    </w:p>
    <w:p>
      <w:pPr>
        <w:widowControl/>
      </w:pPr>
      <w:r>
        <w:rPr>
          <w:rFonts w:ascii="Aptos" w:hAnsi="Aptos"/>
          <w:b w:val="0"/>
          <w:i w:val="0"/>
          <w:color w:val="24323D"/>
          <w:sz w:val="21"/>
        </w:rPr>
        <w:t>Date: ____________________   People present: _________________________________________________</w:t>
      </w:r>
    </w:p>
    <w:p>
      <w:pPr>
        <w:pStyle w:val="ListBullet"/>
        <w:spacing w:after="60"/>
        <w:ind w:left="504" w:hanging="259"/>
      </w:pPr>
      <w:r>
        <w:rPr>
          <w:rFonts w:ascii="Aptos" w:hAnsi="Aptos"/>
          <w:b w:val="0"/>
          <w:i w:val="0"/>
          <w:color w:val="24323D"/>
          <w:sz w:val="20"/>
        </w:rPr>
        <w:t>What changed in our family, work, health or income this year?</w:t>
      </w:r>
    </w:p>
    <w:p>
      <w:pPr>
        <w:pStyle w:val="ListBullet"/>
        <w:spacing w:after="60"/>
        <w:ind w:left="504" w:hanging="259"/>
      </w:pPr>
      <w:r>
        <w:rPr>
          <w:rFonts w:ascii="Aptos" w:hAnsi="Aptos"/>
          <w:b w:val="0"/>
          <w:i w:val="0"/>
          <w:color w:val="24323D"/>
          <w:sz w:val="20"/>
        </w:rPr>
        <w:t>What financial decision are we proud of?</w:t>
      </w:r>
    </w:p>
    <w:p>
      <w:pPr>
        <w:pStyle w:val="ListBullet"/>
        <w:spacing w:after="60"/>
        <w:ind w:left="504" w:hanging="259"/>
      </w:pPr>
      <w:r>
        <w:rPr>
          <w:rFonts w:ascii="Aptos" w:hAnsi="Aptos"/>
          <w:b w:val="0"/>
          <w:i w:val="0"/>
          <w:color w:val="24323D"/>
          <w:sz w:val="20"/>
        </w:rPr>
        <w:t>Which expense or debt creates the most stress?</w:t>
      </w:r>
    </w:p>
    <w:p>
      <w:pPr>
        <w:pStyle w:val="ListBullet"/>
        <w:spacing w:after="60"/>
        <w:ind w:left="504" w:hanging="259"/>
      </w:pPr>
      <w:r>
        <w:rPr>
          <w:rFonts w:ascii="Aptos" w:hAnsi="Aptos"/>
          <w:b w:val="0"/>
          <w:i w:val="0"/>
          <w:color w:val="24323D"/>
          <w:sz w:val="20"/>
        </w:rPr>
        <w:t>Are emergency savings and insurance still appropriate?</w:t>
      </w:r>
    </w:p>
    <w:p>
      <w:pPr>
        <w:pStyle w:val="ListBullet"/>
        <w:spacing w:after="60"/>
        <w:ind w:left="504" w:hanging="259"/>
      </w:pPr>
      <w:r>
        <w:rPr>
          <w:rFonts w:ascii="Aptos" w:hAnsi="Aptos"/>
          <w:b w:val="0"/>
          <w:i w:val="0"/>
          <w:color w:val="24323D"/>
          <w:sz w:val="20"/>
        </w:rPr>
        <w:t>Do our investments still match their goals and dates?</w:t>
      </w:r>
    </w:p>
    <w:p>
      <w:pPr>
        <w:pStyle w:val="ListBullet"/>
        <w:spacing w:after="60"/>
        <w:ind w:left="504" w:hanging="259"/>
      </w:pPr>
      <w:r>
        <w:rPr>
          <w:rFonts w:ascii="Aptos" w:hAnsi="Aptos"/>
          <w:b w:val="0"/>
          <w:i w:val="0"/>
          <w:color w:val="24323D"/>
          <w:sz w:val="20"/>
        </w:rPr>
        <w:t>Are nominees, contact details and documents current?</w:t>
      </w:r>
    </w:p>
    <w:p>
      <w:pPr>
        <w:pStyle w:val="ListBullet"/>
        <w:spacing w:after="60"/>
        <w:ind w:left="504" w:hanging="259"/>
      </w:pPr>
      <w:r>
        <w:rPr>
          <w:rFonts w:ascii="Aptos" w:hAnsi="Aptos"/>
          <w:b w:val="0"/>
          <w:i w:val="0"/>
          <w:color w:val="24323D"/>
          <w:sz w:val="20"/>
        </w:rPr>
        <w:t>What is one opportunity we want to create for the mother—not only the household?</w:t>
      </w:r>
    </w:p>
    <w:p>
      <w:pPr>
        <w:widowControl/>
      </w:pPr>
      <w:r>
        <w:rPr>
          <w:rFonts w:ascii="Aptos" w:hAnsi="Aptos"/>
          <w:b w:val="0"/>
          <w:i w:val="0"/>
          <w:color w:val="24323D"/>
          <w:sz w:val="21"/>
        </w:rPr>
        <w:t>Our three priorities for the next twelve months:</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pStyle w:val="Heading1"/>
      </w:pPr>
      <w:r>
        <w:t>10. My 30-day action page</w:t>
      </w:r>
    </w:p>
    <w:tbl>
      <w:tblPr>
        <w:tblStyle w:val="TableGrid"/>
        <w:tblW w:type="dxa" w:w="9360"/>
        <w:jc w:val="center"/>
        <w:tblLayout w:type="fixed"/>
        <w:tblLook w:firstColumn="1" w:firstRow="1" w:lastColumn="0" w:lastRow="0" w:noHBand="0" w:noVBand="1" w:val="04A0"/>
        <w:tblInd w:w="120" w:type="dxa"/>
      </w:tblPr>
      <w:tblGrid>
        <w:gridCol w:w="850"/>
        <w:gridCol w:w="1700"/>
        <w:gridCol w:w="5860"/>
        <w:gridCol w:w="950"/>
      </w:tblGrid>
      <w:tr>
        <w:trPr>
          <w:tblHeader w:val="true"/>
        </w:trPr>
        <w:tc>
          <w:tcPr>
            <w:tcW w:type="dxa" w:w="850"/>
            <w:tcMar>
              <w:top w:w="90" w:type="dxa"/>
              <w:start w:w="120" w:type="dxa"/>
              <w:bottom w:w="90" w:type="dxa"/>
              <w:end w:w="120" w:type="dxa"/>
            </w:tcMar>
            <w:shd w:fill="24445C"/>
            <w:vAlign w:val="center"/>
          </w:tcPr>
          <w:p>
            <w:pPr>
              <w:spacing w:after="0"/>
            </w:pPr>
            <w:r>
              <w:rPr>
                <w:rFonts w:ascii="Aptos" w:hAnsi="Aptos"/>
                <w:b/>
                <w:i w:val="0"/>
                <w:color w:val="FFFFFF"/>
                <w:sz w:val="18"/>
              </w:rPr>
              <w:t>Week</w:t>
            </w:r>
          </w:p>
        </w:tc>
        <w:tc>
          <w:tcPr>
            <w:tcW w:type="dxa" w:w="1700"/>
            <w:tcMar>
              <w:top w:w="90" w:type="dxa"/>
              <w:start w:w="120" w:type="dxa"/>
              <w:bottom w:w="90" w:type="dxa"/>
              <w:end w:w="120" w:type="dxa"/>
            </w:tcMar>
            <w:shd w:fill="24445C"/>
            <w:vAlign w:val="center"/>
          </w:tcPr>
          <w:p>
            <w:pPr>
              <w:spacing w:after="0"/>
            </w:pPr>
            <w:r>
              <w:rPr>
                <w:rFonts w:ascii="Aptos" w:hAnsi="Aptos"/>
                <w:b/>
                <w:i w:val="0"/>
                <w:color w:val="FFFFFF"/>
                <w:sz w:val="18"/>
              </w:rPr>
              <w:t>Focus</w:t>
            </w:r>
          </w:p>
        </w:tc>
        <w:tc>
          <w:tcPr>
            <w:tcW w:type="dxa" w:w="5860"/>
            <w:tcMar>
              <w:top w:w="90" w:type="dxa"/>
              <w:start w:w="120" w:type="dxa"/>
              <w:bottom w:w="90" w:type="dxa"/>
              <w:end w:w="120" w:type="dxa"/>
            </w:tcMar>
            <w:shd w:fill="24445C"/>
            <w:vAlign w:val="center"/>
          </w:tcPr>
          <w:p>
            <w:pPr>
              <w:spacing w:after="0"/>
            </w:pPr>
            <w:r>
              <w:rPr>
                <w:rFonts w:ascii="Aptos" w:hAnsi="Aptos"/>
                <w:b/>
                <w:i w:val="0"/>
                <w:color w:val="FFFFFF"/>
                <w:sz w:val="18"/>
              </w:rPr>
              <w:t>One action</w:t>
            </w:r>
          </w:p>
        </w:tc>
        <w:tc>
          <w:tcPr>
            <w:tcW w:type="dxa" w:w="950"/>
            <w:tcMar>
              <w:top w:w="90" w:type="dxa"/>
              <w:start w:w="120" w:type="dxa"/>
              <w:bottom w:w="90" w:type="dxa"/>
              <w:end w:w="120" w:type="dxa"/>
            </w:tcMar>
            <w:shd w:fill="24445C"/>
            <w:vAlign w:val="center"/>
          </w:tcPr>
          <w:p>
            <w:pPr>
              <w:spacing w:after="0"/>
            </w:pPr>
            <w:r>
              <w:rPr>
                <w:rFonts w:ascii="Aptos" w:hAnsi="Aptos"/>
                <w:b/>
                <w:i w:val="0"/>
                <w:color w:val="FFFFFF"/>
                <w:sz w:val="18"/>
              </w:rPr>
              <w:t>Done</w:t>
            </w:r>
          </w:p>
        </w:tc>
      </w:tr>
      <w:tr>
        <w:tc>
          <w:tcPr>
            <w:tcW w:type="dxa" w:w="850"/>
            <w:tcMar>
              <w:top w:w="90" w:type="dxa"/>
              <w:start w:w="120" w:type="dxa"/>
              <w:bottom w:w="90" w:type="dxa"/>
              <w:end w:w="120" w:type="dxa"/>
            </w:tcMar>
            <w:vAlign w:val="center"/>
          </w:tcPr>
          <w:p>
            <w:pPr>
              <w:spacing w:after="0" w:line="252" w:lineRule="auto"/>
            </w:pPr>
            <w:r>
              <w:rPr>
                <w:rFonts w:ascii="Aptos" w:hAnsi="Aptos"/>
                <w:b w:val="0"/>
                <w:i w:val="0"/>
                <w:color w:val="24323D"/>
                <w:sz w:val="18"/>
              </w:rPr>
              <w:t>1</w:t>
            </w:r>
          </w:p>
        </w:tc>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8"/>
              </w:rPr>
              <w:t>See clearly</w:t>
            </w:r>
          </w:p>
        </w:tc>
        <w:tc>
          <w:tcPr>
            <w:tcW w:type="dxa" w:w="5860"/>
            <w:tcMar>
              <w:top w:w="90" w:type="dxa"/>
              <w:start w:w="120" w:type="dxa"/>
              <w:bottom w:w="90" w:type="dxa"/>
              <w:end w:w="120" w:type="dxa"/>
            </w:tcMar>
            <w:vAlign w:val="center"/>
          </w:tcPr>
          <w:p>
            <w:pPr>
              <w:spacing w:after="0" w:line="252" w:lineRule="auto"/>
            </w:pPr>
            <w:r>
              <w:rPr>
                <w:rFonts w:ascii="Aptos" w:hAnsi="Aptos"/>
                <w:b w:val="0"/>
                <w:i w:val="0"/>
                <w:color w:val="24323D"/>
                <w:sz w:val="18"/>
              </w:rPr>
              <w:t>Gather statements and complete the monthly money map.</w:t>
            </w:r>
          </w:p>
        </w:tc>
        <w:tc>
          <w:tcPr>
            <w:tcW w:type="dxa" w:w="950"/>
            <w:tcMar>
              <w:top w:w="90" w:type="dxa"/>
              <w:start w:w="120" w:type="dxa"/>
              <w:bottom w:w="90" w:type="dxa"/>
              <w:end w:w="120" w:type="dxa"/>
            </w:tcMar>
            <w:vAlign w:val="center"/>
          </w:tcPr>
          <w:p>
            <w:pPr>
              <w:spacing w:after="0" w:line="252" w:lineRule="auto"/>
            </w:pPr>
            <w:r>
              <w:rPr>
                <w:rFonts w:ascii="Aptos" w:hAnsi="Aptos"/>
                <w:b w:val="0"/>
                <w:i w:val="0"/>
                <w:color w:val="24323D"/>
                <w:sz w:val="18"/>
              </w:rPr>
              <w:t>☐</w:t>
            </w:r>
          </w:p>
        </w:tc>
      </w:tr>
      <w:tr>
        <w:tc>
          <w:tcPr>
            <w:tcW w:type="dxa" w:w="8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2</w:t>
            </w:r>
          </w:p>
        </w:tc>
        <w:tc>
          <w:tcPr>
            <w:tcW w:type="dxa" w:w="1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Protect</w:t>
            </w:r>
          </w:p>
        </w:tc>
        <w:tc>
          <w:tcPr>
            <w:tcW w:type="dxa" w:w="58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Check emergency money, insurance, nominations and fraud contacts.</w:t>
            </w:r>
          </w:p>
        </w:tc>
        <w:tc>
          <w:tcPr>
            <w:tcW w:type="dxa" w:w="9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w:t>
            </w:r>
          </w:p>
        </w:tc>
      </w:tr>
      <w:tr>
        <w:tc>
          <w:tcPr>
            <w:tcW w:type="dxa" w:w="850"/>
            <w:tcMar>
              <w:top w:w="90" w:type="dxa"/>
              <w:start w:w="120" w:type="dxa"/>
              <w:bottom w:w="90" w:type="dxa"/>
              <w:end w:w="120" w:type="dxa"/>
            </w:tcMar>
            <w:vAlign w:val="center"/>
          </w:tcPr>
          <w:p>
            <w:pPr>
              <w:spacing w:after="0" w:line="252" w:lineRule="auto"/>
            </w:pPr>
            <w:r>
              <w:rPr>
                <w:rFonts w:ascii="Aptos" w:hAnsi="Aptos"/>
                <w:b w:val="0"/>
                <w:i w:val="0"/>
                <w:color w:val="24323D"/>
                <w:sz w:val="18"/>
              </w:rPr>
              <w:t>3</w:t>
            </w:r>
          </w:p>
        </w:tc>
        <w:tc>
          <w:tcPr>
            <w:tcW w:type="dxa" w:w="1700"/>
            <w:tcMar>
              <w:top w:w="90" w:type="dxa"/>
              <w:start w:w="120" w:type="dxa"/>
              <w:bottom w:w="90" w:type="dxa"/>
              <w:end w:w="120" w:type="dxa"/>
            </w:tcMar>
            <w:vAlign w:val="center"/>
          </w:tcPr>
          <w:p>
            <w:pPr>
              <w:spacing w:after="0" w:line="252" w:lineRule="auto"/>
            </w:pPr>
            <w:r>
              <w:rPr>
                <w:rFonts w:ascii="Aptos" w:hAnsi="Aptos"/>
                <w:b w:val="0"/>
                <w:i w:val="0"/>
                <w:color w:val="24323D"/>
                <w:sz w:val="18"/>
              </w:rPr>
              <w:t>Organise</w:t>
            </w:r>
          </w:p>
        </w:tc>
        <w:tc>
          <w:tcPr>
            <w:tcW w:type="dxa" w:w="5860"/>
            <w:tcMar>
              <w:top w:w="90" w:type="dxa"/>
              <w:start w:w="120" w:type="dxa"/>
              <w:bottom w:w="90" w:type="dxa"/>
              <w:end w:w="120" w:type="dxa"/>
            </w:tcMar>
            <w:vAlign w:val="center"/>
          </w:tcPr>
          <w:p>
            <w:pPr>
              <w:spacing w:after="0" w:line="252" w:lineRule="auto"/>
            </w:pPr>
            <w:r>
              <w:rPr>
                <w:rFonts w:ascii="Aptos" w:hAnsi="Aptos"/>
                <w:b w:val="0"/>
                <w:i w:val="0"/>
                <w:color w:val="24323D"/>
                <w:sz w:val="18"/>
              </w:rPr>
              <w:t>Label every saving or investment with one goal.</w:t>
            </w:r>
          </w:p>
        </w:tc>
        <w:tc>
          <w:tcPr>
            <w:tcW w:type="dxa" w:w="950"/>
            <w:tcMar>
              <w:top w:w="90" w:type="dxa"/>
              <w:start w:w="120" w:type="dxa"/>
              <w:bottom w:w="90" w:type="dxa"/>
              <w:end w:w="120" w:type="dxa"/>
            </w:tcMar>
            <w:vAlign w:val="center"/>
          </w:tcPr>
          <w:p>
            <w:pPr>
              <w:spacing w:after="0" w:line="252" w:lineRule="auto"/>
            </w:pPr>
            <w:r>
              <w:rPr>
                <w:rFonts w:ascii="Aptos" w:hAnsi="Aptos"/>
                <w:b w:val="0"/>
                <w:i w:val="0"/>
                <w:color w:val="24323D"/>
                <w:sz w:val="18"/>
              </w:rPr>
              <w:t>☐</w:t>
            </w:r>
          </w:p>
        </w:tc>
      </w:tr>
      <w:tr>
        <w:tc>
          <w:tcPr>
            <w:tcW w:type="dxa" w:w="8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4</w:t>
            </w:r>
          </w:p>
        </w:tc>
        <w:tc>
          <w:tcPr>
            <w:tcW w:type="dxa" w:w="17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Move forward</w:t>
            </w:r>
          </w:p>
        </w:tc>
        <w:tc>
          <w:tcPr>
            <w:tcW w:type="dxa" w:w="58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Choose one automatic or calendar-based habit.</w:t>
            </w:r>
          </w:p>
        </w:tc>
        <w:tc>
          <w:tcPr>
            <w:tcW w:type="dxa" w:w="95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w:t>
            </w:r>
          </w:p>
        </w:tc>
      </w:tr>
    </w:tbl>
    <w:p>
      <w:pPr>
        <w:spacing w:after="20"/>
      </w:pPr>
    </w:p>
    <w:p>
      <w:pPr>
        <w:widowControl/>
      </w:pPr>
      <w:r>
        <w:rPr>
          <w:rFonts w:ascii="Aptos" w:hAnsi="Aptos"/>
          <w:b w:val="0"/>
          <w:i w:val="0"/>
          <w:color w:val="24323D"/>
          <w:sz w:val="21"/>
        </w:rPr>
        <w:t>The one action I will complete in the next 24 hours:</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widowControl/>
      </w:pPr>
      <w:r>
        <w:rPr>
          <w:rFonts w:ascii="Aptos" w:hAnsi="Aptos"/>
          <w:b w:val="0"/>
          <w:i w:val="0"/>
          <w:color w:val="24323D"/>
          <w:sz w:val="21"/>
        </w:rPr>
        <w:t>The person I will ask for help, if needed:</w:t>
      </w:r>
    </w:p>
    <w:p>
      <w:pPr>
        <w:spacing w:after="160" w:line="240" w:lineRule="auto"/>
      </w:pPr>
      <w:r>
        <w:rPr>
          <w:rFonts w:ascii="Aptos" w:hAnsi="Aptos"/>
          <w:b w:val="0"/>
          <w:i w:val="0"/>
          <w:color w:val="B5BEC4"/>
          <w:sz w:val="18"/>
        </w:rPr>
        <w:t>________________________________________________________________________________</w:t>
      </w:r>
    </w:p>
    <w:p>
      <w:pPr>
        <w:pStyle w:val="Heading1"/>
      </w:pPr>
      <w:r>
        <w:t>11. Questions for a professional</w:t>
      </w:r>
    </w:p>
    <w:tbl>
      <w:tblPr>
        <w:tblStyle w:val="TableGrid"/>
        <w:tblW w:type="dxa" w:w="9360"/>
        <w:jc w:val="center"/>
        <w:tblLayout w:type="fixed"/>
        <w:tblLook w:firstColumn="1" w:firstRow="1" w:lastColumn="0" w:lastRow="0" w:noHBand="0" w:noVBand="1" w:val="04A0"/>
        <w:tblInd w:w="120" w:type="dxa"/>
      </w:tblPr>
      <w:tblGrid>
        <w:gridCol w:w="4500"/>
        <w:gridCol w:w="4860"/>
      </w:tblGrid>
      <w:tr>
        <w:trPr>
          <w:tblHeader w:val="true"/>
        </w:trPr>
        <w:tc>
          <w:tcPr>
            <w:tcW w:type="dxa" w:w="4500"/>
            <w:tcMar>
              <w:top w:w="90" w:type="dxa"/>
              <w:start w:w="120" w:type="dxa"/>
              <w:bottom w:w="90" w:type="dxa"/>
              <w:end w:w="120" w:type="dxa"/>
            </w:tcMar>
            <w:shd w:fill="24445C"/>
            <w:vAlign w:val="center"/>
          </w:tcPr>
          <w:p>
            <w:pPr>
              <w:spacing w:after="0"/>
            </w:pPr>
            <w:r>
              <w:rPr>
                <w:rFonts w:ascii="Aptos" w:hAnsi="Aptos"/>
                <w:b/>
                <w:i w:val="0"/>
                <w:color w:val="FFFFFF"/>
                <w:sz w:val="18"/>
              </w:rPr>
              <w:t>Question</w:t>
            </w:r>
          </w:p>
        </w:tc>
        <w:tc>
          <w:tcPr>
            <w:tcW w:type="dxa" w:w="4860"/>
            <w:tcMar>
              <w:top w:w="90" w:type="dxa"/>
              <w:start w:w="120" w:type="dxa"/>
              <w:bottom w:w="90" w:type="dxa"/>
              <w:end w:w="120" w:type="dxa"/>
            </w:tcMar>
            <w:shd w:fill="24445C"/>
            <w:vAlign w:val="center"/>
          </w:tcPr>
          <w:p>
            <w:pPr>
              <w:spacing w:after="0"/>
            </w:pPr>
            <w:r>
              <w:rPr>
                <w:rFonts w:ascii="Aptos" w:hAnsi="Aptos"/>
                <w:b/>
                <w:i w:val="0"/>
                <w:color w:val="FFFFFF"/>
                <w:sz w:val="18"/>
              </w:rPr>
              <w:t>Answer / follow-up</w:t>
            </w:r>
          </w:p>
        </w:tc>
      </w:tr>
      <w:tr>
        <w:tc>
          <w:tcPr>
            <w:tcW w:type="dxa" w:w="4500"/>
            <w:tcMar>
              <w:top w:w="90" w:type="dxa"/>
              <w:start w:w="120" w:type="dxa"/>
              <w:bottom w:w="90" w:type="dxa"/>
              <w:end w:w="120" w:type="dxa"/>
            </w:tcMar>
            <w:vAlign w:val="center"/>
          </w:tcPr>
          <w:p>
            <w:pPr>
              <w:spacing w:after="0" w:line="252" w:lineRule="auto"/>
            </w:pPr>
            <w:r>
              <w:rPr>
                <w:rFonts w:ascii="Aptos" w:hAnsi="Aptos"/>
                <w:b w:val="0"/>
                <w:i w:val="0"/>
                <w:color w:val="24323D"/>
                <w:sz w:val="17"/>
              </w:rPr>
              <w:t>What are you registered or licensed to advise on?</w:t>
            </w:r>
          </w:p>
        </w:tc>
        <w:tc>
          <w:tcPr>
            <w:tcW w:type="dxa" w:w="48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4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How are you paid, including commissions or referral fees?</w:t>
            </w:r>
          </w:p>
        </w:tc>
        <w:tc>
          <w:tcPr>
            <w:tcW w:type="dxa" w:w="48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4500"/>
            <w:tcMar>
              <w:top w:w="90" w:type="dxa"/>
              <w:start w:w="120" w:type="dxa"/>
              <w:bottom w:w="90" w:type="dxa"/>
              <w:end w:w="120" w:type="dxa"/>
            </w:tcMar>
            <w:vAlign w:val="center"/>
          </w:tcPr>
          <w:p>
            <w:pPr>
              <w:spacing w:after="0" w:line="252" w:lineRule="auto"/>
            </w:pPr>
            <w:r>
              <w:rPr>
                <w:rFonts w:ascii="Aptos" w:hAnsi="Aptos"/>
                <w:b w:val="0"/>
                <w:i w:val="0"/>
                <w:color w:val="24323D"/>
                <w:sz w:val="17"/>
              </w:rPr>
              <w:t>What risks, costs, lock-ins and tax issues should I understand?</w:t>
            </w:r>
          </w:p>
        </w:tc>
        <w:tc>
          <w:tcPr>
            <w:tcW w:type="dxa" w:w="48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4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What assumptions are being used?</w:t>
            </w:r>
          </w:p>
        </w:tc>
        <w:tc>
          <w:tcPr>
            <w:tcW w:type="dxa" w:w="48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4500"/>
            <w:tcMar>
              <w:top w:w="90" w:type="dxa"/>
              <w:start w:w="120" w:type="dxa"/>
              <w:bottom w:w="90" w:type="dxa"/>
              <w:end w:w="120" w:type="dxa"/>
            </w:tcMar>
            <w:vAlign w:val="center"/>
          </w:tcPr>
          <w:p>
            <w:pPr>
              <w:spacing w:after="0" w:line="252" w:lineRule="auto"/>
            </w:pPr>
            <w:r>
              <w:rPr>
                <w:rFonts w:ascii="Aptos" w:hAnsi="Aptos"/>
                <w:b w:val="0"/>
                <w:i w:val="0"/>
                <w:color w:val="24323D"/>
                <w:sz w:val="17"/>
              </w:rPr>
              <w:t>What would make this unsuitable for me?</w:t>
            </w:r>
          </w:p>
        </w:tc>
        <w:tc>
          <w:tcPr>
            <w:tcW w:type="dxa" w:w="48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45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What happens if I need the money earlier?</w:t>
            </w:r>
          </w:p>
        </w:tc>
        <w:tc>
          <w:tcPr>
            <w:tcW w:type="dxa" w:w="48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4500"/>
            <w:tcMar>
              <w:top w:w="90" w:type="dxa"/>
              <w:start w:w="120" w:type="dxa"/>
              <w:bottom w:w="90" w:type="dxa"/>
              <w:end w:w="120" w:type="dxa"/>
            </w:tcMar>
            <w:vAlign w:val="center"/>
          </w:tcPr>
          <w:p>
            <w:pPr>
              <w:spacing w:after="0" w:line="252" w:lineRule="auto"/>
            </w:pPr>
            <w:r>
              <w:rPr>
                <w:rFonts w:ascii="Aptos" w:hAnsi="Aptos"/>
                <w:b w:val="0"/>
                <w:i w:val="0"/>
                <w:color w:val="24323D"/>
                <w:sz w:val="17"/>
              </w:rPr>
              <w:t>What written documents should I read before deciding?</w:t>
            </w:r>
          </w:p>
        </w:tc>
        <w:tc>
          <w:tcPr>
            <w:tcW w:type="dxa" w:w="48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bl>
    <w:p>
      <w:pPr>
        <w:spacing w:after="20"/>
      </w:pPr>
    </w:p>
    <w:p>
      <w:pPr>
        <w:pStyle w:val="Heading1"/>
      </w:pPr>
      <w:r>
        <w:t>12. A letter to my future self</w:t>
      </w:r>
    </w:p>
    <w:p>
      <w:pPr>
        <w:widowControl/>
      </w:pPr>
      <w:r>
        <w:rPr>
          <w:rFonts w:ascii="Aptos" w:hAnsi="Aptos"/>
          <w:b w:val="0"/>
          <w:i w:val="0"/>
          <w:color w:val="24323D"/>
          <w:sz w:val="21"/>
        </w:rPr>
        <w:t>Dear future me,</w:t>
      </w:r>
    </w:p>
    <w:p>
      <w:pPr>
        <w:widowControl/>
      </w:pPr>
      <w:r>
        <w:rPr>
          <w:rFonts w:ascii="Aptos" w:hAnsi="Aptos"/>
          <w:b w:val="0"/>
          <w:i w:val="0"/>
          <w:color w:val="24323D"/>
          <w:sz w:val="21"/>
        </w:rPr>
        <w:t>The financial life I am trying to create feels like…</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widowControl/>
      </w:pPr>
      <w:r>
        <w:rPr>
          <w:rFonts w:ascii="Aptos" w:hAnsi="Aptos"/>
          <w:b w:val="0"/>
          <w:i w:val="0"/>
          <w:color w:val="24323D"/>
          <w:sz w:val="21"/>
        </w:rPr>
        <w:t>The small step I am taking now is…</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widowControl/>
      </w:pPr>
      <w:r>
        <w:rPr>
          <w:rFonts w:ascii="Aptos" w:hAnsi="Aptos"/>
          <w:b w:val="0"/>
          <w:i w:val="0"/>
          <w:color w:val="24323D"/>
          <w:sz w:val="21"/>
        </w:rPr>
        <w:t>I hope this gives you…</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widowControl/>
      </w:pPr>
      <w:r>
        <w:rPr>
          <w:rFonts w:ascii="Aptos" w:hAnsi="Aptos"/>
          <w:b w:val="0"/>
          <w:i w:val="0"/>
          <w:color w:val="24323D"/>
          <w:sz w:val="21"/>
        </w:rPr>
        <w:t>With care, ____________________________________    Date: ____________________</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A planner is not proof that you have everything under control. It is a place to return when life changes. Progress may look like one updated nominee, one honest conversation or one account finally understood.</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Choose your Family Financial Review Day and put it in the calendar. Keep the appointment short enough to repeat: sixty calm minutes, once a year, with tea and no blame.</w:t>
            </w:r>
          </w:p>
        </w:tc>
      </w:tr>
    </w:tbl>
    <w:p>
      <w:pPr>
        <w:spacing w:after="20"/>
      </w:pPr>
    </w:p>
    <w:p>
      <w:r>
        <w:br w:type="page"/>
      </w:r>
    </w:p>
    <w:p>
      <w:pPr>
        <w:pStyle w:val="MVKicker"/>
        <w:widowControl/>
      </w:pPr>
      <w:r>
        <w:rPr>
          <w:rFonts w:ascii="Aptos" w:hAnsi="Aptos"/>
          <w:b w:val="0"/>
          <w:i w:val="0"/>
          <w:color w:val="24323D"/>
          <w:sz w:val="21"/>
        </w:rPr>
        <w:t>CHAPTER 22</w:t>
      </w:r>
    </w:p>
    <w:p>
      <w:pPr>
        <w:pStyle w:val="Title"/>
      </w:pPr>
      <w:r>
        <w:t>Trusted Resources for Further Learning</w:t>
      </w:r>
    </w:p>
    <w:p>
      <w:pPr>
        <w:pStyle w:val="MVQuote"/>
        <w:widowControl/>
      </w:pPr>
      <w:r>
        <w:rPr>
          <w:rFonts w:ascii="Aptos" w:hAnsi="Aptos"/>
          <w:b w:val="0"/>
          <w:i/>
          <w:color w:val="24323D"/>
          <w:sz w:val="21"/>
        </w:rPr>
        <w:t>“The internet gives you endless answers. Confidence begins with knowing which source deserves your trust.”</w:t>
      </w:r>
    </w:p>
    <w:p>
      <w:pPr>
        <w:widowControl/>
      </w:pPr>
      <w:r>
        <w:rPr>
          <w:rFonts w:ascii="Aptos" w:hAnsi="Aptos"/>
          <w:b w:val="0"/>
          <w:i w:val="0"/>
          <w:color w:val="24323D"/>
          <w:sz w:val="21"/>
        </w:rPr>
        <w:t>When Priya searched “best investment for my child,” she found thousands of videos, rankings and confident opinions. By bedtime, she had twelve open tabs and less clarity than when she started.</w:t>
      </w:r>
    </w:p>
    <w:p>
      <w:pPr>
        <w:widowControl/>
      </w:pPr>
      <w:r>
        <w:rPr>
          <w:rFonts w:ascii="Aptos" w:hAnsi="Aptos"/>
          <w:b w:val="0"/>
          <w:i w:val="0"/>
          <w:color w:val="24323D"/>
          <w:sz w:val="21"/>
        </w:rPr>
        <w:t>The next morning she changed the question. Instead of asking the internet what to buy, she asked: Who regulates this product? What does the official source say? Is the person advising me registered? That small shift turned noise into a path.</w:t>
      </w:r>
    </w:p>
    <w:p>
      <w:pPr>
        <w:pStyle w:val="Heading1"/>
      </w:pPr>
      <w:r>
        <w:t>Begin with the regulator or official institution</w:t>
      </w:r>
    </w:p>
    <w:p>
      <w:pPr>
        <w:widowControl/>
      </w:pPr>
      <w:r>
        <w:rPr>
          <w:rFonts w:ascii="Aptos" w:hAnsi="Aptos"/>
          <w:b w:val="0"/>
          <w:i w:val="0"/>
          <w:color w:val="24323D"/>
          <w:sz w:val="21"/>
        </w:rPr>
        <w:t>A primary source is closest to the rule, product or complaint process. It may not always be the easiest page to read, but it is the right place to confirm a claim made elsewhere. Use educational content to learn; use the official rule or document to verify.</w:t>
      </w:r>
    </w:p>
    <w:tbl>
      <w:tblPr>
        <w:tblStyle w:val="TableGrid"/>
        <w:tblW w:type="dxa" w:w="9360"/>
        <w:jc w:val="center"/>
        <w:tblLayout w:type="fixed"/>
        <w:tblLook w:firstColumn="1" w:firstRow="1" w:lastColumn="0" w:lastRow="0" w:noHBand="0" w:noVBand="1" w:val="04A0"/>
        <w:tblInd w:w="120" w:type="dxa"/>
      </w:tblPr>
      <w:tblGrid>
        <w:gridCol w:w="2100"/>
        <w:gridCol w:w="3000"/>
        <w:gridCol w:w="4260"/>
      </w:tblGrid>
      <w:tr>
        <w:trPr>
          <w:tblHeader w:val="true"/>
        </w:trPr>
        <w:tc>
          <w:tcPr>
            <w:tcW w:type="dxa" w:w="2100"/>
            <w:tcMar>
              <w:top w:w="90" w:type="dxa"/>
              <w:start w:w="120" w:type="dxa"/>
              <w:bottom w:w="90" w:type="dxa"/>
              <w:end w:w="120" w:type="dxa"/>
            </w:tcMar>
            <w:shd w:fill="24445C"/>
            <w:vAlign w:val="center"/>
          </w:tcPr>
          <w:p>
            <w:pPr>
              <w:spacing w:after="0"/>
            </w:pPr>
            <w:r>
              <w:rPr>
                <w:rFonts w:ascii="Aptos" w:hAnsi="Aptos"/>
                <w:b/>
                <w:i w:val="0"/>
                <w:color w:val="FFFFFF"/>
                <w:sz w:val="18"/>
              </w:rPr>
              <w:t>If your question is about…</w:t>
            </w:r>
          </w:p>
        </w:tc>
        <w:tc>
          <w:tcPr>
            <w:tcW w:type="dxa" w:w="3000"/>
            <w:tcMar>
              <w:top w:w="90" w:type="dxa"/>
              <w:start w:w="120" w:type="dxa"/>
              <w:bottom w:w="90" w:type="dxa"/>
              <w:end w:w="120" w:type="dxa"/>
            </w:tcMar>
            <w:shd w:fill="24445C"/>
            <w:vAlign w:val="center"/>
          </w:tcPr>
          <w:p>
            <w:pPr>
              <w:spacing w:after="0"/>
            </w:pPr>
            <w:r>
              <w:rPr>
                <w:rFonts w:ascii="Aptos" w:hAnsi="Aptos"/>
                <w:b/>
                <w:i w:val="0"/>
                <w:color w:val="FFFFFF"/>
                <w:sz w:val="18"/>
              </w:rPr>
              <w:t>Start here</w:t>
            </w:r>
          </w:p>
        </w:tc>
        <w:tc>
          <w:tcPr>
            <w:tcW w:type="dxa" w:w="4260"/>
            <w:tcMar>
              <w:top w:w="90" w:type="dxa"/>
              <w:start w:w="120" w:type="dxa"/>
              <w:bottom w:w="90" w:type="dxa"/>
              <w:end w:w="120" w:type="dxa"/>
            </w:tcMar>
            <w:shd w:fill="24445C"/>
            <w:vAlign w:val="center"/>
          </w:tcPr>
          <w:p>
            <w:pPr>
              <w:spacing w:after="0"/>
            </w:pPr>
            <w:r>
              <w:rPr>
                <w:rFonts w:ascii="Aptos" w:hAnsi="Aptos"/>
                <w:b/>
                <w:i w:val="0"/>
                <w:color w:val="FFFFFF"/>
                <w:sz w:val="18"/>
              </w:rPr>
              <w:t>What you can do there</w:t>
            </w:r>
          </w:p>
        </w:tc>
      </w:tr>
      <w:tr>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5"/>
              </w:rPr>
              <w:t>Banks, NBFCs, payments and monetary awareness</w:t>
            </w:r>
          </w:p>
        </w:tc>
        <w:tc>
          <w:tcPr>
            <w:tcW w:type="dxa" w:w="3000"/>
            <w:tcMar>
              <w:top w:w="90" w:type="dxa"/>
              <w:start w:w="120" w:type="dxa"/>
              <w:bottom w:w="90" w:type="dxa"/>
              <w:end w:w="120" w:type="dxa"/>
            </w:tcMar>
            <w:vAlign w:val="center"/>
          </w:tcPr>
          <w:p>
            <w:pPr>
              <w:spacing w:after="0" w:line="252" w:lineRule="auto"/>
            </w:pPr>
            <w:r>
              <w:rPr>
                <w:rFonts w:ascii="Aptos" w:hAnsi="Aptos"/>
                <w:b w:val="0"/>
                <w:i w:val="0"/>
                <w:color w:val="24323D"/>
                <w:sz w:val="15"/>
              </w:rPr>
              <w:t>Reserve Bank of India — rbi.org.in</w:t>
            </w:r>
          </w:p>
        </w:tc>
        <w:tc>
          <w:tcPr>
            <w:tcW w:type="dxa" w:w="4260"/>
            <w:tcMar>
              <w:top w:w="90" w:type="dxa"/>
              <w:start w:w="120" w:type="dxa"/>
              <w:bottom w:w="90" w:type="dxa"/>
              <w:end w:w="120" w:type="dxa"/>
            </w:tcMar>
            <w:vAlign w:val="center"/>
          </w:tcPr>
          <w:p>
            <w:pPr>
              <w:spacing w:after="0" w:line="252" w:lineRule="auto"/>
            </w:pPr>
            <w:r>
              <w:rPr>
                <w:rFonts w:ascii="Aptos" w:hAnsi="Aptos"/>
                <w:b w:val="0"/>
                <w:i w:val="0"/>
                <w:color w:val="24323D"/>
                <w:sz w:val="15"/>
              </w:rPr>
              <w:t>Read public-awareness material, verify regulated entities and find complaint guidance.</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Unresolved complaints against RBI-regulated entities</w:t>
            </w:r>
          </w:p>
        </w:tc>
        <w:tc>
          <w:tcPr>
            <w:tcW w:type="dxa" w:w="3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RBI Complaint Management System — cms.rbi.org.in</w:t>
            </w:r>
          </w:p>
        </w:tc>
        <w:tc>
          <w:tcPr>
            <w:tcW w:type="dxa" w:w="42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Lodge and track an eligible complaint after first approaching the regulated entity.</w:t>
            </w:r>
          </w:p>
        </w:tc>
      </w:tr>
      <w:tr>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5"/>
              </w:rPr>
              <w:t>Shares, mutual funds, advisers, brokers, demat, REITs and securities</w:t>
            </w:r>
          </w:p>
        </w:tc>
        <w:tc>
          <w:tcPr>
            <w:tcW w:type="dxa" w:w="3000"/>
            <w:tcMar>
              <w:top w:w="90" w:type="dxa"/>
              <w:start w:w="120" w:type="dxa"/>
              <w:bottom w:w="90" w:type="dxa"/>
              <w:end w:w="120" w:type="dxa"/>
            </w:tcMar>
            <w:vAlign w:val="center"/>
          </w:tcPr>
          <w:p>
            <w:pPr>
              <w:spacing w:after="0" w:line="252" w:lineRule="auto"/>
            </w:pPr>
            <w:r>
              <w:rPr>
                <w:rFonts w:ascii="Aptos" w:hAnsi="Aptos"/>
                <w:b w:val="0"/>
                <w:i w:val="0"/>
                <w:color w:val="24323D"/>
                <w:sz w:val="15"/>
              </w:rPr>
              <w:t>SEBI Investor — investor.sebi.gov.in</w:t>
            </w:r>
          </w:p>
        </w:tc>
        <w:tc>
          <w:tcPr>
            <w:tcW w:type="dxa" w:w="4260"/>
            <w:tcMar>
              <w:top w:w="90" w:type="dxa"/>
              <w:start w:w="120" w:type="dxa"/>
              <w:bottom w:w="90" w:type="dxa"/>
              <w:end w:w="120" w:type="dxa"/>
            </w:tcMar>
            <w:vAlign w:val="center"/>
          </w:tcPr>
          <w:p>
            <w:pPr>
              <w:spacing w:after="0" w:line="252" w:lineRule="auto"/>
            </w:pPr>
            <w:r>
              <w:rPr>
                <w:rFonts w:ascii="Aptos" w:hAnsi="Aptos"/>
                <w:b w:val="0"/>
                <w:i w:val="0"/>
                <w:color w:val="24323D"/>
                <w:sz w:val="15"/>
              </w:rPr>
              <w:t>Learn, check intermediaries, understand risks and access investor-support routes.</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Securities-market complaints</w:t>
            </w:r>
          </w:p>
        </w:tc>
        <w:tc>
          <w:tcPr>
            <w:tcW w:type="dxa" w:w="3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SEBI SCORES — scores.sebi.gov.in</w:t>
            </w:r>
          </w:p>
        </w:tc>
        <w:tc>
          <w:tcPr>
            <w:tcW w:type="dxa" w:w="42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Escalate eligible grievances after first taking the matter to the concerned entity.</w:t>
            </w:r>
          </w:p>
        </w:tc>
      </w:tr>
      <w:tr>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5"/>
              </w:rPr>
              <w:t>Mutual-fund industry data and distributor information</w:t>
            </w:r>
          </w:p>
        </w:tc>
        <w:tc>
          <w:tcPr>
            <w:tcW w:type="dxa" w:w="3000"/>
            <w:tcMar>
              <w:top w:w="90" w:type="dxa"/>
              <w:start w:w="120" w:type="dxa"/>
              <w:bottom w:w="90" w:type="dxa"/>
              <w:end w:w="120" w:type="dxa"/>
            </w:tcMar>
            <w:vAlign w:val="center"/>
          </w:tcPr>
          <w:p>
            <w:pPr>
              <w:spacing w:after="0" w:line="252" w:lineRule="auto"/>
            </w:pPr>
            <w:r>
              <w:rPr>
                <w:rFonts w:ascii="Aptos" w:hAnsi="Aptos"/>
                <w:b w:val="0"/>
                <w:i w:val="0"/>
                <w:color w:val="24323D"/>
                <w:sz w:val="15"/>
              </w:rPr>
              <w:t>Association of Mutual Funds in India — amfiindia.com</w:t>
            </w:r>
          </w:p>
        </w:tc>
        <w:tc>
          <w:tcPr>
            <w:tcW w:type="dxa" w:w="4260"/>
            <w:tcMar>
              <w:top w:w="90" w:type="dxa"/>
              <w:start w:w="120" w:type="dxa"/>
              <w:bottom w:w="90" w:type="dxa"/>
              <w:end w:w="120" w:type="dxa"/>
            </w:tcMar>
            <w:vAlign w:val="center"/>
          </w:tcPr>
          <w:p>
            <w:pPr>
              <w:spacing w:after="0" w:line="252" w:lineRule="auto"/>
            </w:pPr>
            <w:r>
              <w:rPr>
                <w:rFonts w:ascii="Aptos" w:hAnsi="Aptos"/>
                <w:b w:val="0"/>
                <w:i w:val="0"/>
                <w:color w:val="24323D"/>
                <w:sz w:val="15"/>
              </w:rPr>
              <w:t>View NAV information and verify an ARN/distributor; remember AMFI is an industry body, not your personal adviser.</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Insurance products and policyholder rights</w:t>
            </w:r>
          </w:p>
        </w:tc>
        <w:tc>
          <w:tcPr>
            <w:tcW w:type="dxa" w:w="3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IRDAI — irdai.gov.in</w:t>
            </w:r>
          </w:p>
        </w:tc>
        <w:tc>
          <w:tcPr>
            <w:tcW w:type="dxa" w:w="42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Read policyholder information and verify insurers/intermediaries.</w:t>
            </w:r>
          </w:p>
        </w:tc>
      </w:tr>
      <w:tr>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5"/>
              </w:rPr>
              <w:t>Insurance grievances</w:t>
            </w:r>
          </w:p>
        </w:tc>
        <w:tc>
          <w:tcPr>
            <w:tcW w:type="dxa" w:w="3000"/>
            <w:tcMar>
              <w:top w:w="90" w:type="dxa"/>
              <w:start w:w="120" w:type="dxa"/>
              <w:bottom w:w="90" w:type="dxa"/>
              <w:end w:w="120" w:type="dxa"/>
            </w:tcMar>
            <w:vAlign w:val="center"/>
          </w:tcPr>
          <w:p>
            <w:pPr>
              <w:spacing w:after="0" w:line="252" w:lineRule="auto"/>
            </w:pPr>
            <w:r>
              <w:rPr>
                <w:rFonts w:ascii="Aptos" w:hAnsi="Aptos"/>
                <w:b w:val="0"/>
                <w:i w:val="0"/>
                <w:color w:val="24323D"/>
                <w:sz w:val="15"/>
              </w:rPr>
              <w:t>Bima Bharosa — bimabharosa.irdai.gov.in</w:t>
            </w:r>
          </w:p>
        </w:tc>
        <w:tc>
          <w:tcPr>
            <w:tcW w:type="dxa" w:w="4260"/>
            <w:tcMar>
              <w:top w:w="90" w:type="dxa"/>
              <w:start w:w="120" w:type="dxa"/>
              <w:bottom w:w="90" w:type="dxa"/>
              <w:end w:w="120" w:type="dxa"/>
            </w:tcMar>
            <w:vAlign w:val="center"/>
          </w:tcPr>
          <w:p>
            <w:pPr>
              <w:spacing w:after="0" w:line="252" w:lineRule="auto"/>
            </w:pPr>
            <w:r>
              <w:rPr>
                <w:rFonts w:ascii="Aptos" w:hAnsi="Aptos"/>
                <w:b w:val="0"/>
                <w:i w:val="0"/>
                <w:color w:val="24323D"/>
                <w:sz w:val="15"/>
              </w:rPr>
              <w:t>Register and track an insurance grievance after approaching the insurer.</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NPS and Atal Pension Yojana</w:t>
            </w:r>
          </w:p>
        </w:tc>
        <w:tc>
          <w:tcPr>
            <w:tcW w:type="dxa" w:w="3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PFRDA — pfrda.org.in</w:t>
            </w:r>
          </w:p>
        </w:tc>
        <w:tc>
          <w:tcPr>
            <w:tcW w:type="dxa" w:w="42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Read scheme rules, subscriber education and authorised service information.</w:t>
            </w:r>
          </w:p>
        </w:tc>
      </w:tr>
      <w:tr>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5"/>
              </w:rPr>
              <w:t>EPF, EPS and EDLI</w:t>
            </w:r>
          </w:p>
        </w:tc>
        <w:tc>
          <w:tcPr>
            <w:tcW w:type="dxa" w:w="3000"/>
            <w:tcMar>
              <w:top w:w="90" w:type="dxa"/>
              <w:start w:w="120" w:type="dxa"/>
              <w:bottom w:w="90" w:type="dxa"/>
              <w:end w:w="120" w:type="dxa"/>
            </w:tcMar>
            <w:vAlign w:val="center"/>
          </w:tcPr>
          <w:p>
            <w:pPr>
              <w:spacing w:after="0" w:line="252" w:lineRule="auto"/>
            </w:pPr>
            <w:r>
              <w:rPr>
                <w:rFonts w:ascii="Aptos" w:hAnsi="Aptos"/>
                <w:b w:val="0"/>
                <w:i w:val="0"/>
                <w:color w:val="24323D"/>
                <w:sz w:val="15"/>
              </w:rPr>
              <w:t>EPFO — epfindia.gov.in</w:t>
            </w:r>
          </w:p>
        </w:tc>
        <w:tc>
          <w:tcPr>
            <w:tcW w:type="dxa" w:w="4260"/>
            <w:tcMar>
              <w:top w:w="90" w:type="dxa"/>
              <w:start w:w="120" w:type="dxa"/>
              <w:bottom w:w="90" w:type="dxa"/>
              <w:end w:w="120" w:type="dxa"/>
            </w:tcMar>
            <w:vAlign w:val="center"/>
          </w:tcPr>
          <w:p>
            <w:pPr>
              <w:spacing w:after="0" w:line="252" w:lineRule="auto"/>
            </w:pPr>
            <w:r>
              <w:rPr>
                <w:rFonts w:ascii="Aptos" w:hAnsi="Aptos"/>
                <w:b w:val="0"/>
                <w:i w:val="0"/>
                <w:color w:val="24323D"/>
                <w:sz w:val="15"/>
              </w:rPr>
              <w:t>Use member services, passbook, nomination, claim and official FAQ resources.</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Income tax</w:t>
            </w:r>
          </w:p>
        </w:tc>
        <w:tc>
          <w:tcPr>
            <w:tcW w:type="dxa" w:w="3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Income Tax Department — incometax.gov.in</w:t>
            </w:r>
          </w:p>
        </w:tc>
        <w:tc>
          <w:tcPr>
            <w:tcW w:type="dxa" w:w="42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File and verify returns, view AIS/26AS, respond to notices and read official help.</w:t>
            </w:r>
          </w:p>
        </w:tc>
      </w:tr>
      <w:tr>
        <w:tc>
          <w:tcPr>
            <w:tcW w:type="dxa" w:w="2100"/>
            <w:tcMar>
              <w:top w:w="90" w:type="dxa"/>
              <w:start w:w="120" w:type="dxa"/>
              <w:bottom w:w="90" w:type="dxa"/>
              <w:end w:w="120" w:type="dxa"/>
            </w:tcMar>
            <w:vAlign w:val="center"/>
          </w:tcPr>
          <w:p>
            <w:pPr>
              <w:spacing w:after="0" w:line="252" w:lineRule="auto"/>
            </w:pPr>
            <w:r>
              <w:rPr>
                <w:rFonts w:ascii="Aptos" w:hAnsi="Aptos"/>
                <w:b w:val="0"/>
                <w:i w:val="0"/>
                <w:color w:val="24323D"/>
                <w:sz w:val="15"/>
              </w:rPr>
              <w:t>Government small savings</w:t>
            </w:r>
          </w:p>
        </w:tc>
        <w:tc>
          <w:tcPr>
            <w:tcW w:type="dxa" w:w="3000"/>
            <w:tcMar>
              <w:top w:w="90" w:type="dxa"/>
              <w:start w:w="120" w:type="dxa"/>
              <w:bottom w:w="90" w:type="dxa"/>
              <w:end w:w="120" w:type="dxa"/>
            </w:tcMar>
            <w:vAlign w:val="center"/>
          </w:tcPr>
          <w:p>
            <w:pPr>
              <w:spacing w:after="0" w:line="252" w:lineRule="auto"/>
            </w:pPr>
            <w:r>
              <w:rPr>
                <w:rFonts w:ascii="Aptos" w:hAnsi="Aptos"/>
                <w:b w:val="0"/>
                <w:i w:val="0"/>
                <w:color w:val="24323D"/>
                <w:sz w:val="15"/>
              </w:rPr>
              <w:t>National Savings Institute / India Post — nsiindia.gov.in and indiapost.gov.in</w:t>
            </w:r>
          </w:p>
        </w:tc>
        <w:tc>
          <w:tcPr>
            <w:tcW w:type="dxa" w:w="4260"/>
            <w:tcMar>
              <w:top w:w="90" w:type="dxa"/>
              <w:start w:w="120" w:type="dxa"/>
              <w:bottom w:w="90" w:type="dxa"/>
              <w:end w:w="120" w:type="dxa"/>
            </w:tcMar>
            <w:vAlign w:val="center"/>
          </w:tcPr>
          <w:p>
            <w:pPr>
              <w:spacing w:after="0" w:line="252" w:lineRule="auto"/>
            </w:pPr>
            <w:r>
              <w:rPr>
                <w:rFonts w:ascii="Aptos" w:hAnsi="Aptos"/>
                <w:b w:val="0"/>
                <w:i w:val="0"/>
                <w:color w:val="24323D"/>
                <w:sz w:val="15"/>
              </w:rPr>
              <w:t>Check current scheme rules, rates and forms.</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Cyber financial fraud</w:t>
            </w:r>
          </w:p>
        </w:tc>
        <w:tc>
          <w:tcPr>
            <w:tcW w:type="dxa" w:w="3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National Cyber Crime Reporting Portal — cybercrime.gov.in; helpline 1930</w:t>
            </w:r>
          </w:p>
        </w:tc>
        <w:tc>
          <w:tcPr>
            <w:tcW w:type="dxa" w:w="42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5"/>
              </w:rPr>
              <w:t>Report financial cyber fraud quickly and preserve the acknowledgement.</w:t>
            </w:r>
          </w:p>
        </w:tc>
      </w:tr>
    </w:tbl>
    <w:p>
      <w:pPr>
        <w:spacing w:after="20"/>
      </w:pPr>
    </w:p>
    <w:p>
      <w:pPr>
        <w:pStyle w:val="MVSource"/>
        <w:widowControl/>
      </w:pPr>
      <w:r>
        <w:rPr>
          <w:rFonts w:ascii="Aptos" w:hAnsi="Aptos"/>
          <w:b w:val="0"/>
          <w:i w:val="0"/>
          <w:color w:val="24323D"/>
          <w:sz w:val="21"/>
        </w:rPr>
        <w:t>Domains and functions checked from the respective official portals on 22 July 2026.</w:t>
      </w:r>
    </w:p>
    <w:p>
      <w:pPr>
        <w:pStyle w:val="Heading1"/>
      </w:pPr>
      <w:r>
        <w:t>Learn, verify, complain: three different jobs</w:t>
      </w:r>
    </w:p>
    <w:tbl>
      <w:tblPr>
        <w:tblStyle w:val="TableGrid"/>
        <w:tblW w:type="dxa" w:w="9360"/>
        <w:jc w:val="center"/>
        <w:tblLayout w:type="fixed"/>
        <w:tblLook w:firstColumn="1" w:firstRow="1" w:lastColumn="0" w:lastRow="0" w:noHBand="0" w:noVBand="1" w:val="04A0"/>
        <w:tblInd w:w="120" w:type="dxa"/>
      </w:tblPr>
      <w:tblGrid>
        <w:gridCol w:w="1400"/>
        <w:gridCol w:w="4200"/>
        <w:gridCol w:w="3760"/>
      </w:tblGrid>
      <w:tr>
        <w:trPr>
          <w:tblHeader w:val="true"/>
        </w:trPr>
        <w:tc>
          <w:tcPr>
            <w:tcW w:type="dxa" w:w="1400"/>
            <w:tcMar>
              <w:top w:w="90" w:type="dxa"/>
              <w:start w:w="120" w:type="dxa"/>
              <w:bottom w:w="90" w:type="dxa"/>
              <w:end w:w="120" w:type="dxa"/>
            </w:tcMar>
            <w:shd w:fill="24445C"/>
            <w:vAlign w:val="center"/>
          </w:tcPr>
          <w:p>
            <w:pPr>
              <w:spacing w:after="0"/>
            </w:pPr>
            <w:r>
              <w:rPr>
                <w:rFonts w:ascii="Aptos" w:hAnsi="Aptos"/>
                <w:b/>
                <w:i w:val="0"/>
                <w:color w:val="FFFFFF"/>
                <w:sz w:val="18"/>
              </w:rPr>
              <w:t>Job</w:t>
            </w:r>
          </w:p>
        </w:tc>
        <w:tc>
          <w:tcPr>
            <w:tcW w:type="dxa" w:w="4200"/>
            <w:tcMar>
              <w:top w:w="90" w:type="dxa"/>
              <w:start w:w="120" w:type="dxa"/>
              <w:bottom w:w="90" w:type="dxa"/>
              <w:end w:w="120" w:type="dxa"/>
            </w:tcMar>
            <w:shd w:fill="24445C"/>
            <w:vAlign w:val="center"/>
          </w:tcPr>
          <w:p>
            <w:pPr>
              <w:spacing w:after="0"/>
            </w:pPr>
            <w:r>
              <w:rPr>
                <w:rFonts w:ascii="Aptos" w:hAnsi="Aptos"/>
                <w:b/>
                <w:i w:val="0"/>
                <w:color w:val="FFFFFF"/>
                <w:sz w:val="18"/>
              </w:rPr>
              <w:t>What it means</w:t>
            </w:r>
          </w:p>
        </w:tc>
        <w:tc>
          <w:tcPr>
            <w:tcW w:type="dxa" w:w="3760"/>
            <w:tcMar>
              <w:top w:w="90" w:type="dxa"/>
              <w:start w:w="120" w:type="dxa"/>
              <w:bottom w:w="90" w:type="dxa"/>
              <w:end w:w="120" w:type="dxa"/>
            </w:tcMar>
            <w:shd w:fill="24445C"/>
            <w:vAlign w:val="center"/>
          </w:tcPr>
          <w:p>
            <w:pPr>
              <w:spacing w:after="0"/>
            </w:pPr>
            <w:r>
              <w:rPr>
                <w:rFonts w:ascii="Aptos" w:hAnsi="Aptos"/>
                <w:b/>
                <w:i w:val="0"/>
                <w:color w:val="FFFFFF"/>
                <w:sz w:val="18"/>
              </w:rPr>
              <w:t>Example</w:t>
            </w:r>
          </w:p>
        </w:tc>
      </w:tr>
      <w:tr>
        <w:tc>
          <w:tcPr>
            <w:tcW w:type="dxa" w:w="1400"/>
            <w:tcMar>
              <w:top w:w="90" w:type="dxa"/>
              <w:start w:w="120" w:type="dxa"/>
              <w:bottom w:w="90" w:type="dxa"/>
              <w:end w:w="120" w:type="dxa"/>
            </w:tcMar>
            <w:vAlign w:val="center"/>
          </w:tcPr>
          <w:p>
            <w:pPr>
              <w:spacing w:after="0" w:line="252" w:lineRule="auto"/>
            </w:pPr>
            <w:r>
              <w:rPr>
                <w:rFonts w:ascii="Aptos" w:hAnsi="Aptos"/>
                <w:b w:val="0"/>
                <w:i w:val="0"/>
                <w:color w:val="24323D"/>
                <w:sz w:val="17"/>
              </w:rPr>
              <w:t>Learn</w:t>
            </w:r>
          </w:p>
        </w:tc>
        <w:tc>
          <w:tcPr>
            <w:tcW w:type="dxa" w:w="4200"/>
            <w:tcMar>
              <w:top w:w="90" w:type="dxa"/>
              <w:start w:w="120" w:type="dxa"/>
              <w:bottom w:w="90" w:type="dxa"/>
              <w:end w:w="120" w:type="dxa"/>
            </w:tcMar>
            <w:vAlign w:val="center"/>
          </w:tcPr>
          <w:p>
            <w:pPr>
              <w:spacing w:after="0" w:line="252" w:lineRule="auto"/>
            </w:pPr>
            <w:r>
              <w:rPr>
                <w:rFonts w:ascii="Aptos" w:hAnsi="Aptos"/>
                <w:b w:val="0"/>
                <w:i w:val="0"/>
                <w:color w:val="24323D"/>
                <w:sz w:val="17"/>
              </w:rPr>
              <w:t>Understand the concept before considering a product.</w:t>
            </w:r>
          </w:p>
        </w:tc>
        <w:tc>
          <w:tcPr>
            <w:tcW w:type="dxa" w:w="3760"/>
            <w:tcMar>
              <w:top w:w="90" w:type="dxa"/>
              <w:start w:w="120" w:type="dxa"/>
              <w:bottom w:w="90" w:type="dxa"/>
              <w:end w:w="120" w:type="dxa"/>
            </w:tcMar>
            <w:vAlign w:val="center"/>
          </w:tcPr>
          <w:p>
            <w:pPr>
              <w:spacing w:after="0" w:line="252" w:lineRule="auto"/>
            </w:pPr>
            <w:r>
              <w:rPr>
                <w:rFonts w:ascii="Aptos" w:hAnsi="Aptos"/>
                <w:b w:val="0"/>
                <w:i w:val="0"/>
                <w:color w:val="24323D"/>
                <w:sz w:val="17"/>
              </w:rPr>
              <w:t>Read SEBI’s beginner material on mutual funds or PFRDA’s retirement education.</w:t>
            </w:r>
          </w:p>
        </w:tc>
      </w:tr>
      <w:tr>
        <w:tc>
          <w:tcPr>
            <w:tcW w:type="dxa" w:w="14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Verify</w:t>
            </w:r>
          </w:p>
        </w:tc>
        <w:tc>
          <w:tcPr>
            <w:tcW w:type="dxa" w:w="42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Confirm the person, product, rule or claim independently.</w:t>
            </w:r>
          </w:p>
        </w:tc>
        <w:tc>
          <w:tcPr>
            <w:tcW w:type="dxa" w:w="37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Check an adviser’s registration or read the current scheme document.</w:t>
            </w:r>
          </w:p>
        </w:tc>
      </w:tr>
      <w:tr>
        <w:tc>
          <w:tcPr>
            <w:tcW w:type="dxa" w:w="1400"/>
            <w:tcMar>
              <w:top w:w="90" w:type="dxa"/>
              <w:start w:w="120" w:type="dxa"/>
              <w:bottom w:w="90" w:type="dxa"/>
              <w:end w:w="120" w:type="dxa"/>
            </w:tcMar>
            <w:vAlign w:val="center"/>
          </w:tcPr>
          <w:p>
            <w:pPr>
              <w:spacing w:after="0" w:line="252" w:lineRule="auto"/>
            </w:pPr>
            <w:r>
              <w:rPr>
                <w:rFonts w:ascii="Aptos" w:hAnsi="Aptos"/>
                <w:b w:val="0"/>
                <w:i w:val="0"/>
                <w:color w:val="24323D"/>
                <w:sz w:val="17"/>
              </w:rPr>
              <w:t>Complain</w:t>
            </w:r>
          </w:p>
        </w:tc>
        <w:tc>
          <w:tcPr>
            <w:tcW w:type="dxa" w:w="4200"/>
            <w:tcMar>
              <w:top w:w="90" w:type="dxa"/>
              <w:start w:w="120" w:type="dxa"/>
              <w:bottom w:w="90" w:type="dxa"/>
              <w:end w:w="120" w:type="dxa"/>
            </w:tcMar>
            <w:vAlign w:val="center"/>
          </w:tcPr>
          <w:p>
            <w:pPr>
              <w:spacing w:after="0" w:line="252" w:lineRule="auto"/>
            </w:pPr>
            <w:r>
              <w:rPr>
                <w:rFonts w:ascii="Aptos" w:hAnsi="Aptos"/>
                <w:b w:val="0"/>
                <w:i w:val="0"/>
                <w:color w:val="24323D"/>
                <w:sz w:val="17"/>
              </w:rPr>
              <w:t>Use the proper escalation route and preserve evidence.</w:t>
            </w:r>
          </w:p>
        </w:tc>
        <w:tc>
          <w:tcPr>
            <w:tcW w:type="dxa" w:w="3760"/>
            <w:tcMar>
              <w:top w:w="90" w:type="dxa"/>
              <w:start w:w="120" w:type="dxa"/>
              <w:bottom w:w="90" w:type="dxa"/>
              <w:end w:w="120" w:type="dxa"/>
            </w:tcMar>
            <w:vAlign w:val="center"/>
          </w:tcPr>
          <w:p>
            <w:pPr>
              <w:spacing w:after="0" w:line="252" w:lineRule="auto"/>
            </w:pPr>
            <w:r>
              <w:rPr>
                <w:rFonts w:ascii="Aptos" w:hAnsi="Aptos"/>
                <w:b w:val="0"/>
                <w:i w:val="0"/>
                <w:color w:val="24323D"/>
                <w:sz w:val="17"/>
              </w:rPr>
              <w:t>First complain to the bank/insurer/intermediary, then use the regulator’s mechanism if eligible.</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IMPORTANT</w:t>
            </w:r>
          </w:p>
          <w:p>
            <w:pPr>
              <w:spacing w:after="0"/>
            </w:pPr>
            <w:r>
              <w:rPr>
                <w:rFonts w:ascii="Aptos" w:hAnsi="Aptos"/>
                <w:b w:val="0"/>
                <w:i w:val="0"/>
                <w:color w:val="24323D"/>
                <w:sz w:val="20"/>
              </w:rPr>
              <w:t>A regulator does not choose an investment for you, guarantee returns or approve every sales claim. Regulation creates rules and redress routes; it does not remove the need to understand risk and suitability.</w:t>
            </w:r>
          </w:p>
        </w:tc>
      </w:tr>
    </w:tbl>
    <w:p>
      <w:pPr>
        <w:spacing w:after="20"/>
      </w:pPr>
    </w:p>
    <w:p>
      <w:pPr>
        <w:pStyle w:val="Heading1"/>
      </w:pPr>
      <w:r>
        <w:t>How to judge a financial source</w:t>
      </w:r>
    </w:p>
    <w:p>
      <w:pPr>
        <w:pStyle w:val="ListBullet"/>
        <w:spacing w:after="60"/>
        <w:ind w:left="504" w:hanging="259"/>
      </w:pPr>
      <w:r>
        <w:rPr>
          <w:rFonts w:ascii="Aptos" w:hAnsi="Aptos"/>
          <w:b w:val="0"/>
          <w:i w:val="0"/>
          <w:color w:val="24323D"/>
          <w:sz w:val="20"/>
        </w:rPr>
        <w:t>Authority: Is it the regulator, government department, product issuer or a properly registered professional?</w:t>
      </w:r>
    </w:p>
    <w:p>
      <w:pPr>
        <w:pStyle w:val="ListBullet"/>
        <w:spacing w:after="60"/>
        <w:ind w:left="504" w:hanging="259"/>
      </w:pPr>
      <w:r>
        <w:rPr>
          <w:rFonts w:ascii="Aptos" w:hAnsi="Aptos"/>
          <w:b w:val="0"/>
          <w:i w:val="0"/>
          <w:color w:val="24323D"/>
          <w:sz w:val="20"/>
        </w:rPr>
        <w:t>Date: Is the material current enough for the rule, rate or tax year being discussed?</w:t>
      </w:r>
    </w:p>
    <w:p>
      <w:pPr>
        <w:pStyle w:val="ListBullet"/>
        <w:spacing w:after="60"/>
        <w:ind w:left="504" w:hanging="259"/>
      </w:pPr>
      <w:r>
        <w:rPr>
          <w:rFonts w:ascii="Aptos" w:hAnsi="Aptos"/>
          <w:b w:val="0"/>
          <w:i w:val="0"/>
          <w:color w:val="24323D"/>
          <w:sz w:val="20"/>
        </w:rPr>
        <w:t>Purpose: Is it education, news, analysis, advertising or personalised advice?</w:t>
      </w:r>
    </w:p>
    <w:p>
      <w:pPr>
        <w:pStyle w:val="ListBullet"/>
        <w:spacing w:after="60"/>
        <w:ind w:left="504" w:hanging="259"/>
      </w:pPr>
      <w:r>
        <w:rPr>
          <w:rFonts w:ascii="Aptos" w:hAnsi="Aptos"/>
          <w:b w:val="0"/>
          <w:i w:val="0"/>
          <w:color w:val="24323D"/>
          <w:sz w:val="20"/>
        </w:rPr>
        <w:t>Evidence: Does it link to the official circular, scheme document, policy wording or data?</w:t>
      </w:r>
    </w:p>
    <w:p>
      <w:pPr>
        <w:pStyle w:val="ListBullet"/>
        <w:spacing w:after="60"/>
        <w:ind w:left="504" w:hanging="259"/>
      </w:pPr>
      <w:r>
        <w:rPr>
          <w:rFonts w:ascii="Aptos" w:hAnsi="Aptos"/>
          <w:b w:val="0"/>
          <w:i w:val="0"/>
          <w:color w:val="24323D"/>
          <w:sz w:val="20"/>
        </w:rPr>
        <w:t>Conflicts: Is the creator paid, sponsored, earning a commission or selling a course/product?</w:t>
      </w:r>
    </w:p>
    <w:p>
      <w:pPr>
        <w:pStyle w:val="ListBullet"/>
        <w:spacing w:after="60"/>
        <w:ind w:left="504" w:hanging="259"/>
      </w:pPr>
      <w:r>
        <w:rPr>
          <w:rFonts w:ascii="Aptos" w:hAnsi="Aptos"/>
          <w:b w:val="0"/>
          <w:i w:val="0"/>
          <w:color w:val="24323D"/>
          <w:sz w:val="20"/>
        </w:rPr>
        <w:t>Clarity: Are risks, costs and uncertainty explained as clearly as benefits?</w:t>
      </w:r>
    </w:p>
    <w:p>
      <w:pPr>
        <w:pStyle w:val="ListBullet"/>
        <w:spacing w:after="60"/>
        <w:ind w:left="504" w:hanging="259"/>
      </w:pPr>
      <w:r>
        <w:rPr>
          <w:rFonts w:ascii="Aptos" w:hAnsi="Aptos"/>
          <w:b w:val="0"/>
          <w:i w:val="0"/>
          <w:color w:val="24323D"/>
          <w:sz w:val="20"/>
        </w:rPr>
        <w:t>Pressure: Can you take the information away and decide later?</w:t>
      </w:r>
    </w:p>
    <w:p>
      <w:pPr>
        <w:pStyle w:val="Heading1"/>
      </w:pPr>
      <w:r>
        <w:t>Checking a professional</w:t>
      </w:r>
    </w:p>
    <w:p>
      <w:pPr>
        <w:widowControl/>
      </w:pPr>
      <w:r>
        <w:rPr>
          <w:rFonts w:ascii="Aptos" w:hAnsi="Aptos"/>
          <w:b w:val="0"/>
          <w:i w:val="0"/>
          <w:color w:val="24323D"/>
          <w:sz w:val="21"/>
        </w:rPr>
        <w:t>A title can sound impressive without proving authority. Ask what the person is registered, licensed or authorised to do. A mutual-fund distributor and a SEBI-registered investment adviser do not have identical roles or compensation structures. An insurance agent, bank relationship manager, chartered accountant and lawyer each have different boundaries.</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start w:w="120" w:type="dxa"/>
              <w:bottom w:w="90" w:type="dxa"/>
              <w:end w:w="120" w:type="dxa"/>
            </w:tcMar>
            <w:shd w:fill="24445C"/>
            <w:vAlign w:val="center"/>
          </w:tcPr>
          <w:p>
            <w:pPr>
              <w:spacing w:after="0"/>
            </w:pPr>
            <w:r>
              <w:rPr>
                <w:rFonts w:ascii="Aptos" w:hAnsi="Aptos"/>
                <w:b/>
                <w:i w:val="0"/>
                <w:color w:val="FFFFFF"/>
                <w:sz w:val="18"/>
              </w:rPr>
              <w:t>Ask</w:t>
            </w:r>
          </w:p>
        </w:tc>
        <w:tc>
          <w:tcPr>
            <w:tcW w:type="dxa" w:w="6360"/>
            <w:tcMar>
              <w:top w:w="90" w:type="dxa"/>
              <w:start w:w="120" w:type="dxa"/>
              <w:bottom w:w="90" w:type="dxa"/>
              <w:end w:w="120" w:type="dxa"/>
            </w:tcMar>
            <w:shd w:fill="24445C"/>
            <w:vAlign w:val="center"/>
          </w:tcPr>
          <w:p>
            <w:pPr>
              <w:spacing w:after="0"/>
            </w:pPr>
            <w:r>
              <w:rPr>
                <w:rFonts w:ascii="Aptos" w:hAnsi="Aptos"/>
                <w:b/>
                <w:i w:val="0"/>
                <w:color w:val="FFFFFF"/>
                <w:sz w:val="18"/>
              </w:rPr>
              <w:t>Why it matters</w:t>
            </w:r>
          </w:p>
        </w:tc>
      </w:tr>
      <w:tr>
        <w:tc>
          <w:tcPr>
            <w:tcW w:type="dxa" w:w="3000"/>
            <w:tcMar>
              <w:top w:w="90" w:type="dxa"/>
              <w:start w:w="120" w:type="dxa"/>
              <w:bottom w:w="90" w:type="dxa"/>
              <w:end w:w="120" w:type="dxa"/>
            </w:tcMar>
            <w:vAlign w:val="center"/>
          </w:tcPr>
          <w:p>
            <w:pPr>
              <w:spacing w:after="0" w:line="252" w:lineRule="auto"/>
            </w:pPr>
            <w:r>
              <w:rPr>
                <w:rFonts w:ascii="Aptos" w:hAnsi="Aptos"/>
                <w:b w:val="0"/>
                <w:i w:val="0"/>
                <w:color w:val="24323D"/>
                <w:sz w:val="17"/>
              </w:rPr>
              <w:t>What is your registration or licence number, and where can I verify it?</w:t>
            </w:r>
          </w:p>
        </w:tc>
        <w:tc>
          <w:tcPr>
            <w:tcW w:type="dxa" w:w="6360"/>
            <w:tcMar>
              <w:top w:w="90" w:type="dxa"/>
              <w:start w:w="120" w:type="dxa"/>
              <w:bottom w:w="90" w:type="dxa"/>
              <w:end w:w="120" w:type="dxa"/>
            </w:tcMar>
            <w:vAlign w:val="center"/>
          </w:tcPr>
          <w:p>
            <w:pPr>
              <w:spacing w:after="0" w:line="252" w:lineRule="auto"/>
            </w:pPr>
            <w:r>
              <w:rPr>
                <w:rFonts w:ascii="Aptos" w:hAnsi="Aptos"/>
                <w:b w:val="0"/>
                <w:i w:val="0"/>
                <w:color w:val="24323D"/>
                <w:sz w:val="17"/>
              </w:rPr>
              <w:t>A genuine professional should welcome verification.</w:t>
            </w:r>
          </w:p>
        </w:tc>
      </w:tr>
      <w:tr>
        <w:tc>
          <w:tcPr>
            <w:tcW w:type="dxa" w:w="3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Are you advising, distributing, executing, accounting or providing legal work?</w:t>
            </w:r>
          </w:p>
        </w:tc>
        <w:tc>
          <w:tcPr>
            <w:tcW w:type="dxa" w:w="63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The service determines the duty and expertise required.</w:t>
            </w:r>
          </w:p>
        </w:tc>
      </w:tr>
      <w:tr>
        <w:tc>
          <w:tcPr>
            <w:tcW w:type="dxa" w:w="3000"/>
            <w:tcMar>
              <w:top w:w="90" w:type="dxa"/>
              <w:start w:w="120" w:type="dxa"/>
              <w:bottom w:w="90" w:type="dxa"/>
              <w:end w:w="120" w:type="dxa"/>
            </w:tcMar>
            <w:vAlign w:val="center"/>
          </w:tcPr>
          <w:p>
            <w:pPr>
              <w:spacing w:after="0" w:line="252" w:lineRule="auto"/>
            </w:pPr>
            <w:r>
              <w:rPr>
                <w:rFonts w:ascii="Aptos" w:hAnsi="Aptos"/>
                <w:b w:val="0"/>
                <w:i w:val="0"/>
                <w:color w:val="24323D"/>
                <w:sz w:val="17"/>
              </w:rPr>
              <w:t>How are you paid?</w:t>
            </w:r>
          </w:p>
        </w:tc>
        <w:tc>
          <w:tcPr>
            <w:tcW w:type="dxa" w:w="6360"/>
            <w:tcMar>
              <w:top w:w="90" w:type="dxa"/>
              <w:start w:w="120" w:type="dxa"/>
              <w:bottom w:w="90" w:type="dxa"/>
              <w:end w:w="120" w:type="dxa"/>
            </w:tcMar>
            <w:vAlign w:val="center"/>
          </w:tcPr>
          <w:p>
            <w:pPr>
              <w:spacing w:after="0" w:line="252" w:lineRule="auto"/>
            </w:pPr>
            <w:r>
              <w:rPr>
                <w:rFonts w:ascii="Aptos" w:hAnsi="Aptos"/>
                <w:b w:val="0"/>
                <w:i w:val="0"/>
                <w:color w:val="24323D"/>
                <w:sz w:val="17"/>
              </w:rPr>
              <w:t>Fees, commissions, incentives and referrals can affect recommendations.</w:t>
            </w:r>
          </w:p>
        </w:tc>
      </w:tr>
      <w:tr>
        <w:tc>
          <w:tcPr>
            <w:tcW w:type="dxa" w:w="30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What are you not qualified to advise on?</w:t>
            </w:r>
          </w:p>
        </w:tc>
        <w:tc>
          <w:tcPr>
            <w:tcW w:type="dxa" w:w="63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Good professionals understand their limits.</w:t>
            </w:r>
          </w:p>
        </w:tc>
      </w:tr>
      <w:tr>
        <w:tc>
          <w:tcPr>
            <w:tcW w:type="dxa" w:w="3000"/>
            <w:tcMar>
              <w:top w:w="90" w:type="dxa"/>
              <w:start w:w="120" w:type="dxa"/>
              <w:bottom w:w="90" w:type="dxa"/>
              <w:end w:w="120" w:type="dxa"/>
            </w:tcMar>
            <w:vAlign w:val="center"/>
          </w:tcPr>
          <w:p>
            <w:pPr>
              <w:spacing w:after="0" w:line="252" w:lineRule="auto"/>
            </w:pPr>
            <w:r>
              <w:rPr>
                <w:rFonts w:ascii="Aptos" w:hAnsi="Aptos"/>
                <w:b w:val="0"/>
                <w:i w:val="0"/>
                <w:color w:val="24323D"/>
                <w:sz w:val="17"/>
              </w:rPr>
              <w:t>Will you give the recommendation, assumptions, costs and risks in writing?</w:t>
            </w:r>
          </w:p>
        </w:tc>
        <w:tc>
          <w:tcPr>
            <w:tcW w:type="dxa" w:w="6360"/>
            <w:tcMar>
              <w:top w:w="90" w:type="dxa"/>
              <w:start w:w="120" w:type="dxa"/>
              <w:bottom w:w="90" w:type="dxa"/>
              <w:end w:w="120" w:type="dxa"/>
            </w:tcMar>
            <w:vAlign w:val="center"/>
          </w:tcPr>
          <w:p>
            <w:pPr>
              <w:spacing w:after="0" w:line="252" w:lineRule="auto"/>
            </w:pPr>
            <w:r>
              <w:rPr>
                <w:rFonts w:ascii="Aptos" w:hAnsi="Aptos"/>
                <w:b w:val="0"/>
                <w:i w:val="0"/>
                <w:color w:val="24323D"/>
                <w:sz w:val="17"/>
              </w:rPr>
              <w:t>A written record slows pressure and supports accountability.</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F9ECEB"/>
          </w:tcPr>
          <w:p>
            <w:pPr>
              <w:spacing w:after="80"/>
            </w:pPr>
            <w:r>
              <w:rPr>
                <w:rFonts w:ascii="Aptos" w:hAnsi="Aptos"/>
                <w:b/>
                <w:i w:val="0"/>
                <w:color w:val="9B3A35"/>
                <w:sz w:val="18"/>
              </w:rPr>
              <w:t>RED FLAGS</w:t>
            </w:r>
          </w:p>
          <w:p>
            <w:pPr>
              <w:spacing w:after="0"/>
            </w:pPr>
            <w:r>
              <w:rPr>
                <w:rFonts w:ascii="Aptos" w:hAnsi="Aptos"/>
                <w:b w:val="0"/>
                <w:i w:val="0"/>
                <w:color w:val="24323D"/>
                <w:sz w:val="20"/>
              </w:rPr>
              <w:t>A professional refuses registration details, guarantees returns, asks for passwords or OTPs, wants money sent to a personal account, discourages questions, hides compensation or insists that a decision must be made immediately.</w:t>
            </w:r>
          </w:p>
        </w:tc>
      </w:tr>
    </w:tbl>
    <w:p>
      <w:pPr>
        <w:spacing w:after="20"/>
      </w:pPr>
    </w:p>
    <w:p>
      <w:pPr>
        <w:pStyle w:val="Heading1"/>
      </w:pPr>
      <w:r>
        <w:t>Use calculators with care</w:t>
      </w:r>
    </w:p>
    <w:p>
      <w:pPr>
        <w:widowControl/>
      </w:pPr>
      <w:r>
        <w:rPr>
          <w:rFonts w:ascii="Aptos" w:hAnsi="Aptos"/>
          <w:b w:val="0"/>
          <w:i w:val="0"/>
          <w:color w:val="24323D"/>
          <w:sz w:val="21"/>
        </w:rPr>
        <w:t>An SIP, retirement, education or loan calculator is a model—not a forecast. The answer changes when you change inflation, return, cost, tax, life expectancy or timing. A beautifully precise number can still rest on unrealistic assumptions.</w:t>
      </w:r>
    </w:p>
    <w:p>
      <w:pPr>
        <w:pStyle w:val="ListBullet"/>
        <w:spacing w:after="60"/>
        <w:ind w:left="504" w:hanging="259"/>
      </w:pPr>
      <w:r>
        <w:rPr>
          <w:rFonts w:ascii="Aptos" w:hAnsi="Aptos"/>
          <w:b w:val="0"/>
          <w:i w:val="0"/>
          <w:color w:val="24323D"/>
          <w:sz w:val="20"/>
        </w:rPr>
        <w:t>Use at least a conservative and an optimistic scenario.</w:t>
      </w:r>
    </w:p>
    <w:p>
      <w:pPr>
        <w:pStyle w:val="ListBullet"/>
        <w:spacing w:after="60"/>
        <w:ind w:left="504" w:hanging="259"/>
      </w:pPr>
      <w:r>
        <w:rPr>
          <w:rFonts w:ascii="Aptos" w:hAnsi="Aptos"/>
          <w:b w:val="0"/>
          <w:i w:val="0"/>
          <w:color w:val="24323D"/>
          <w:sz w:val="20"/>
        </w:rPr>
        <w:t>Separate guaranteed inputs from assumptions.</w:t>
      </w:r>
    </w:p>
    <w:p>
      <w:pPr>
        <w:pStyle w:val="ListBullet"/>
        <w:spacing w:after="60"/>
        <w:ind w:left="504" w:hanging="259"/>
      </w:pPr>
      <w:r>
        <w:rPr>
          <w:rFonts w:ascii="Aptos" w:hAnsi="Aptos"/>
          <w:b w:val="0"/>
          <w:i w:val="0"/>
          <w:color w:val="24323D"/>
          <w:sz w:val="20"/>
        </w:rPr>
        <w:t>Check whether returns are before or after costs and tax.</w:t>
      </w:r>
    </w:p>
    <w:p>
      <w:pPr>
        <w:pStyle w:val="ListBullet"/>
        <w:spacing w:after="60"/>
        <w:ind w:left="504" w:hanging="259"/>
      </w:pPr>
      <w:r>
        <w:rPr>
          <w:rFonts w:ascii="Aptos" w:hAnsi="Aptos"/>
          <w:b w:val="0"/>
          <w:i w:val="0"/>
          <w:color w:val="24323D"/>
          <w:sz w:val="20"/>
        </w:rPr>
        <w:t>For long-term goals, include inflation.</w:t>
      </w:r>
    </w:p>
    <w:p>
      <w:pPr>
        <w:pStyle w:val="ListBullet"/>
        <w:spacing w:after="60"/>
        <w:ind w:left="504" w:hanging="259"/>
      </w:pPr>
      <w:r>
        <w:rPr>
          <w:rFonts w:ascii="Aptos" w:hAnsi="Aptos"/>
          <w:b w:val="0"/>
          <w:i w:val="0"/>
          <w:color w:val="24323D"/>
          <w:sz w:val="20"/>
        </w:rPr>
        <w:t>Do not mistake a calculator result for a product recommendation.</w:t>
      </w:r>
    </w:p>
    <w:p>
      <w:pPr>
        <w:pStyle w:val="Heading1"/>
      </w:pPr>
      <w:r>
        <w:t>A simple complaint ladder</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trPr>
        <w:tc>
          <w:tcPr>
            <w:tcW w:type="dxa" w:w="1900"/>
            <w:tcMar>
              <w:top w:w="90" w:type="dxa"/>
              <w:start w:w="120" w:type="dxa"/>
              <w:bottom w:w="90" w:type="dxa"/>
              <w:end w:w="120" w:type="dxa"/>
            </w:tcMar>
            <w:shd w:fill="24445C"/>
            <w:vAlign w:val="center"/>
          </w:tcPr>
          <w:p>
            <w:pPr>
              <w:spacing w:after="0"/>
            </w:pPr>
            <w:r>
              <w:rPr>
                <w:rFonts w:ascii="Aptos" w:hAnsi="Aptos"/>
                <w:b/>
                <w:i w:val="0"/>
                <w:color w:val="FFFFFF"/>
                <w:sz w:val="18"/>
              </w:rPr>
              <w:t>Step</w:t>
            </w:r>
          </w:p>
        </w:tc>
        <w:tc>
          <w:tcPr>
            <w:tcW w:type="dxa" w:w="7460"/>
            <w:tcMar>
              <w:top w:w="90" w:type="dxa"/>
              <w:start w:w="120" w:type="dxa"/>
              <w:bottom w:w="90" w:type="dxa"/>
              <w:end w:w="120" w:type="dxa"/>
            </w:tcMar>
            <w:shd w:fill="24445C"/>
            <w:vAlign w:val="center"/>
          </w:tcPr>
          <w:p>
            <w:pPr>
              <w:spacing w:after="0"/>
            </w:pPr>
            <w:r>
              <w:rPr>
                <w:rFonts w:ascii="Aptos" w:hAnsi="Aptos"/>
                <w:b/>
                <w:i w:val="0"/>
                <w:color w:val="FFFFFF"/>
                <w:sz w:val="18"/>
              </w:rPr>
              <w:t>What to do</w:t>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24323D"/>
                <w:sz w:val="17"/>
              </w:rPr>
              <w:t>1. Record</w:t>
            </w:r>
          </w:p>
        </w:tc>
        <w:tc>
          <w:tcPr>
            <w:tcW w:type="dxa" w:w="7460"/>
            <w:tcMar>
              <w:top w:w="90" w:type="dxa"/>
              <w:start w:w="120" w:type="dxa"/>
              <w:bottom w:w="90" w:type="dxa"/>
              <w:end w:w="120" w:type="dxa"/>
            </w:tcMar>
            <w:vAlign w:val="center"/>
          </w:tcPr>
          <w:p>
            <w:pPr>
              <w:spacing w:after="0" w:line="252" w:lineRule="auto"/>
            </w:pPr>
            <w:r>
              <w:rPr>
                <w:rFonts w:ascii="Aptos" w:hAnsi="Aptos"/>
                <w:b w:val="0"/>
                <w:i w:val="0"/>
                <w:color w:val="24323D"/>
                <w:sz w:val="17"/>
              </w:rPr>
              <w:t>Write the issue, dates, amount, policy/account details and desired resolution. Save statements and messages.</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2. Contact the entity</w:t>
            </w:r>
          </w:p>
        </w:tc>
        <w:tc>
          <w:tcPr>
            <w:tcW w:type="dxa" w:w="7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Use the bank, insurer, intermediary, platform or scheme’s official grievance channel.</w:t>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24323D"/>
                <w:sz w:val="17"/>
              </w:rPr>
              <w:t>3. Keep proof</w:t>
            </w:r>
          </w:p>
        </w:tc>
        <w:tc>
          <w:tcPr>
            <w:tcW w:type="dxa" w:w="7460"/>
            <w:tcMar>
              <w:top w:w="90" w:type="dxa"/>
              <w:start w:w="120" w:type="dxa"/>
              <w:bottom w:w="90" w:type="dxa"/>
              <w:end w:w="120" w:type="dxa"/>
            </w:tcMar>
            <w:vAlign w:val="center"/>
          </w:tcPr>
          <w:p>
            <w:pPr>
              <w:spacing w:after="0" w:line="252" w:lineRule="auto"/>
            </w:pPr>
            <w:r>
              <w:rPr>
                <w:rFonts w:ascii="Aptos" w:hAnsi="Aptos"/>
                <w:b w:val="0"/>
                <w:i w:val="0"/>
                <w:color w:val="24323D"/>
                <w:sz w:val="17"/>
              </w:rPr>
              <w:t>Save complaint/reference numbers and the written response. Note deadlines.</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4. Escalate correctly</w:t>
            </w:r>
          </w:p>
        </w:tc>
        <w:tc>
          <w:tcPr>
            <w:tcW w:type="dxa" w:w="7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If unresolved and eligible, use the relevant regulator/ombudsman portal—not a random “complaint agent.”</w:t>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24323D"/>
                <w:sz w:val="17"/>
              </w:rPr>
              <w:t>5. Seek specialist help</w:t>
            </w:r>
          </w:p>
        </w:tc>
        <w:tc>
          <w:tcPr>
            <w:tcW w:type="dxa" w:w="7460"/>
            <w:tcMar>
              <w:top w:w="90" w:type="dxa"/>
              <w:start w:w="120" w:type="dxa"/>
              <w:bottom w:w="90" w:type="dxa"/>
              <w:end w:w="120" w:type="dxa"/>
            </w:tcMar>
            <w:vAlign w:val="center"/>
          </w:tcPr>
          <w:p>
            <w:pPr>
              <w:spacing w:after="0" w:line="252" w:lineRule="auto"/>
            </w:pPr>
            <w:r>
              <w:rPr>
                <w:rFonts w:ascii="Aptos" w:hAnsi="Aptos"/>
                <w:b w:val="0"/>
                <w:i w:val="0"/>
                <w:color w:val="24323D"/>
                <w:sz w:val="17"/>
              </w:rPr>
              <w:t>For large loss, complex law, fraud or limitation periods, obtain appropriate legal or professional advice.</w:t>
            </w:r>
          </w:p>
        </w:tc>
      </w:tr>
    </w:tbl>
    <w:p>
      <w:pPr>
        <w:spacing w:after="20"/>
      </w:pPr>
    </w:p>
    <w:p>
      <w:pPr>
        <w:pStyle w:val="Heading1"/>
      </w:pPr>
      <w:r>
        <w:t>Your personal learning plan</w:t>
      </w:r>
    </w:p>
    <w:tbl>
      <w:tblPr>
        <w:tblStyle w:val="TableGrid"/>
        <w:tblW w:type="dxa" w:w="9360"/>
        <w:jc w:val="center"/>
        <w:tblLayout w:type="fixed"/>
        <w:tblLook w:firstColumn="1" w:firstRow="1" w:lastColumn="0" w:lastRow="0" w:noHBand="0" w:noVBand="1" w:val="04A0"/>
        <w:tblInd w:w="120" w:type="dxa"/>
      </w:tblPr>
      <w:tblGrid>
        <w:gridCol w:w="2800"/>
        <w:gridCol w:w="2800"/>
        <w:gridCol w:w="3760"/>
      </w:tblGrid>
      <w:tr>
        <w:trPr>
          <w:tblHeader w:val="true"/>
        </w:trPr>
        <w:tc>
          <w:tcPr>
            <w:tcW w:type="dxa" w:w="2800"/>
            <w:tcMar>
              <w:top w:w="90" w:type="dxa"/>
              <w:start w:w="120" w:type="dxa"/>
              <w:bottom w:w="90" w:type="dxa"/>
              <w:end w:w="120" w:type="dxa"/>
            </w:tcMar>
            <w:shd w:fill="24445C"/>
            <w:vAlign w:val="center"/>
          </w:tcPr>
          <w:p>
            <w:pPr>
              <w:spacing w:after="0"/>
            </w:pPr>
            <w:r>
              <w:rPr>
                <w:rFonts w:ascii="Aptos" w:hAnsi="Aptos"/>
                <w:b/>
                <w:i w:val="0"/>
                <w:color w:val="FFFFFF"/>
                <w:sz w:val="18"/>
              </w:rPr>
              <w:t>I want to understand…</w:t>
            </w:r>
          </w:p>
        </w:tc>
        <w:tc>
          <w:tcPr>
            <w:tcW w:type="dxa" w:w="2800"/>
            <w:tcMar>
              <w:top w:w="90" w:type="dxa"/>
              <w:start w:w="120" w:type="dxa"/>
              <w:bottom w:w="90" w:type="dxa"/>
              <w:end w:w="120" w:type="dxa"/>
            </w:tcMar>
            <w:shd w:fill="24445C"/>
            <w:vAlign w:val="center"/>
          </w:tcPr>
          <w:p>
            <w:pPr>
              <w:spacing w:after="0"/>
            </w:pPr>
            <w:r>
              <w:rPr>
                <w:rFonts w:ascii="Aptos" w:hAnsi="Aptos"/>
                <w:b/>
                <w:i w:val="0"/>
                <w:color w:val="FFFFFF"/>
                <w:sz w:val="18"/>
              </w:rPr>
              <w:t>Official starting point</w:t>
            </w:r>
          </w:p>
        </w:tc>
        <w:tc>
          <w:tcPr>
            <w:tcW w:type="dxa" w:w="3760"/>
            <w:tcMar>
              <w:top w:w="90" w:type="dxa"/>
              <w:start w:w="120" w:type="dxa"/>
              <w:bottom w:w="90" w:type="dxa"/>
              <w:end w:w="120" w:type="dxa"/>
            </w:tcMar>
            <w:shd w:fill="24445C"/>
            <w:vAlign w:val="center"/>
          </w:tcPr>
          <w:p>
            <w:pPr>
              <w:spacing w:after="0"/>
            </w:pPr>
            <w:r>
              <w:rPr>
                <w:rFonts w:ascii="Aptos" w:hAnsi="Aptos"/>
                <w:b/>
                <w:i w:val="0"/>
                <w:color w:val="FFFFFF"/>
                <w:sz w:val="18"/>
              </w:rPr>
              <w:t>One question I will answer</w:t>
            </w:r>
          </w:p>
        </w:tc>
      </w:tr>
      <w:tr>
        <w:tc>
          <w:tcPr>
            <w:tcW w:type="dxa" w:w="2800"/>
            <w:tcMar>
              <w:top w:w="90" w:type="dxa"/>
              <w:start w:w="120" w:type="dxa"/>
              <w:bottom w:w="90" w:type="dxa"/>
              <w:end w:w="120" w:type="dxa"/>
            </w:tcMar>
            <w:vAlign w:val="center"/>
          </w:tcPr>
          <w:p>
            <w:pPr>
              <w:spacing w:after="0" w:line="252" w:lineRule="auto"/>
            </w:pPr>
            <w:r>
              <w:rPr>
                <w:rFonts w:ascii="Aptos" w:hAnsi="Aptos"/>
                <w:b w:val="0"/>
                <w:i w:val="0"/>
                <w:color w:val="24323D"/>
                <w:sz w:val="17"/>
              </w:rPr>
              <w:t>Banking / loans</w:t>
            </w:r>
          </w:p>
        </w:tc>
        <w:tc>
          <w:tcPr>
            <w:tcW w:type="dxa" w:w="280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c>
          <w:tcPr>
            <w:tcW w:type="dxa" w:w="37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2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Insurance</w:t>
            </w:r>
          </w:p>
        </w:tc>
        <w:tc>
          <w:tcPr>
            <w:tcW w:type="dxa" w:w="2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c>
          <w:tcPr>
            <w:tcW w:type="dxa" w:w="37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2800"/>
            <w:tcMar>
              <w:top w:w="90" w:type="dxa"/>
              <w:start w:w="120" w:type="dxa"/>
              <w:bottom w:w="90" w:type="dxa"/>
              <w:end w:w="120" w:type="dxa"/>
            </w:tcMar>
            <w:vAlign w:val="center"/>
          </w:tcPr>
          <w:p>
            <w:pPr>
              <w:spacing w:after="0" w:line="252" w:lineRule="auto"/>
            </w:pPr>
            <w:r>
              <w:rPr>
                <w:rFonts w:ascii="Aptos" w:hAnsi="Aptos"/>
                <w:b w:val="0"/>
                <w:i w:val="0"/>
                <w:color w:val="24323D"/>
                <w:sz w:val="17"/>
              </w:rPr>
              <w:t>Investing</w:t>
            </w:r>
          </w:p>
        </w:tc>
        <w:tc>
          <w:tcPr>
            <w:tcW w:type="dxa" w:w="280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c>
          <w:tcPr>
            <w:tcW w:type="dxa" w:w="37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2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Retirement</w:t>
            </w:r>
          </w:p>
        </w:tc>
        <w:tc>
          <w:tcPr>
            <w:tcW w:type="dxa" w:w="2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c>
          <w:tcPr>
            <w:tcW w:type="dxa" w:w="37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r>
        <w:tc>
          <w:tcPr>
            <w:tcW w:type="dxa" w:w="2800"/>
            <w:tcMar>
              <w:top w:w="90" w:type="dxa"/>
              <w:start w:w="120" w:type="dxa"/>
              <w:bottom w:w="90" w:type="dxa"/>
              <w:end w:w="120" w:type="dxa"/>
            </w:tcMar>
            <w:vAlign w:val="center"/>
          </w:tcPr>
          <w:p>
            <w:pPr>
              <w:spacing w:after="0" w:line="252" w:lineRule="auto"/>
            </w:pPr>
            <w:r>
              <w:rPr>
                <w:rFonts w:ascii="Aptos" w:hAnsi="Aptos"/>
                <w:b w:val="0"/>
                <w:i w:val="0"/>
                <w:color w:val="24323D"/>
                <w:sz w:val="17"/>
              </w:rPr>
              <w:t>Tax</w:t>
            </w:r>
          </w:p>
        </w:tc>
        <w:tc>
          <w:tcPr>
            <w:tcW w:type="dxa" w:w="280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c>
          <w:tcPr>
            <w:tcW w:type="dxa" w:w="3760"/>
            <w:tcMar>
              <w:top w:w="90" w:type="dxa"/>
              <w:start w:w="120" w:type="dxa"/>
              <w:bottom w:w="90" w:type="dxa"/>
              <w:end w:w="120" w:type="dxa"/>
            </w:tcMar>
            <w:vAlign w:val="center"/>
          </w:tcPr>
          <w:p>
            <w:pPr>
              <w:spacing w:after="0" w:line="252" w:lineRule="auto"/>
            </w:pPr>
            <w:r>
              <w:rPr>
                <w:rFonts w:ascii="Aptos" w:hAnsi="Aptos"/>
                <w:b w:val="0"/>
                <w:i w:val="0"/>
                <w:color w:val="24323D"/>
                <w:sz w:val="17"/>
              </w:rPr>
            </w:r>
          </w:p>
        </w:tc>
      </w:tr>
      <w:tr>
        <w:tc>
          <w:tcPr>
            <w:tcW w:type="dxa" w:w="2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t>Fraud protection</w:t>
            </w:r>
          </w:p>
        </w:tc>
        <w:tc>
          <w:tcPr>
            <w:tcW w:type="dxa" w:w="2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c>
          <w:tcPr>
            <w:tcW w:type="dxa" w:w="37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7"/>
              </w:rPr>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The safest learning habit is simple: understand from a reliable source, verify the current rule, and make the decision only after the pressure has passed.</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Bookmark the official portals relevant to products your family already owns. Then verify one professional, policy, scheme or intermediary instead of searching for something new to buy.</w:t>
            </w:r>
          </w:p>
        </w:tc>
      </w:tr>
    </w:tbl>
    <w:p>
      <w:pPr>
        <w:spacing w:after="20"/>
      </w:pPr>
    </w:p>
    <w:p>
      <w:r>
        <w:br w:type="page"/>
      </w:r>
    </w:p>
    <w:p>
      <w:pPr>
        <w:pStyle w:val="MVKicker"/>
        <w:widowControl/>
      </w:pPr>
      <w:r>
        <w:rPr>
          <w:rFonts w:ascii="Aptos" w:hAnsi="Aptos"/>
          <w:b w:val="0"/>
          <w:i w:val="0"/>
          <w:color w:val="24323D"/>
          <w:sz w:val="21"/>
        </w:rPr>
        <w:t>CHAPTER 23</w:t>
      </w:r>
    </w:p>
    <w:p>
      <w:pPr>
        <w:pStyle w:val="Title"/>
      </w:pPr>
      <w:r>
        <w:t>Questions Mothers Often Ask</w:t>
      </w:r>
    </w:p>
    <w:p>
      <w:pPr>
        <w:pStyle w:val="MVQuote"/>
        <w:widowControl/>
      </w:pPr>
      <w:r>
        <w:rPr>
          <w:rFonts w:ascii="Aptos" w:hAnsi="Aptos"/>
          <w:b w:val="0"/>
          <w:i/>
          <w:color w:val="24323D"/>
          <w:sz w:val="21"/>
        </w:rPr>
        <w:t>“The useful answer is rarely just yes or no. It begins with your goal, your timeline and what keeps your family secure.”</w:t>
      </w:r>
    </w:p>
    <w:p>
      <w:pPr>
        <w:widowControl/>
      </w:pPr>
      <w:r>
        <w:rPr>
          <w:rFonts w:ascii="Aptos" w:hAnsi="Aptos"/>
          <w:b w:val="0"/>
          <w:i w:val="0"/>
          <w:color w:val="24323D"/>
          <w:sz w:val="21"/>
        </w:rPr>
        <w:t>Over the years, I have noticed that mothers often apologise before asking a money question. “This may sound silly…” they begin. It never does. Most financial confidence grows from asking the ordinary questions people are too embarrassed to say aloud.</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A NOTE BEFORE THE ANSWERS</w:t>
            </w:r>
          </w:p>
          <w:p>
            <w:pPr>
              <w:spacing w:after="0"/>
            </w:pPr>
            <w:r>
              <w:rPr>
                <w:rFonts w:ascii="Aptos" w:hAnsi="Aptos"/>
                <w:b w:val="0"/>
                <w:i w:val="0"/>
                <w:color w:val="24323D"/>
                <w:sz w:val="20"/>
              </w:rPr>
              <w:t>These are educational starting points, not personal recommendations. Tax, legal and product rules change; individual income, dependants, debt, risk and goals matter.</w:t>
            </w:r>
          </w:p>
        </w:tc>
      </w:tr>
    </w:tbl>
    <w:p>
      <w:pPr>
        <w:spacing w:after="20"/>
      </w:pPr>
    </w:p>
    <w:p>
      <w:pPr>
        <w:pStyle w:val="Heading1"/>
      </w:pPr>
      <w:r>
        <w:t>Starting and organising</w:t>
      </w:r>
    </w:p>
    <w:p>
      <w:pPr>
        <w:pStyle w:val="Heading2"/>
      </w:pPr>
      <w:r>
        <w:t>1. I do not earn an income. Do I still need to understand money?</w:t>
      </w:r>
    </w:p>
    <w:p>
      <w:pPr>
        <w:widowControl/>
      </w:pPr>
      <w:r>
        <w:rPr>
          <w:rFonts w:ascii="Aptos" w:hAnsi="Aptos"/>
          <w:b w:val="0"/>
          <w:i w:val="0"/>
          <w:color w:val="24323D"/>
          <w:sz w:val="21"/>
        </w:rPr>
        <w:t>Yes. Financial participation is wider than earning. Knowing the household cash flow, insurance, loans, documents, nominations and emergency process makes the family stronger. It also protects your ability to make informed choices if circumstances change.</w:t>
      </w:r>
    </w:p>
    <w:p>
      <w:pPr>
        <w:pStyle w:val="Heading2"/>
      </w:pPr>
      <w:r>
        <w:t>2. My family is financially comfortable. Why do I still feel insecure?</w:t>
      </w:r>
    </w:p>
    <w:p>
      <w:pPr>
        <w:widowControl/>
      </w:pPr>
      <w:r>
        <w:rPr>
          <w:rFonts w:ascii="Aptos" w:hAnsi="Aptos"/>
          <w:b w:val="0"/>
          <w:i w:val="0"/>
          <w:color w:val="24323D"/>
          <w:sz w:val="21"/>
        </w:rPr>
        <w:t>Security has both a household and a personal side. You may want access to information, an emergency plan, assets or savings in your own name where appropriate, and confidence that you could earn or manage money if needed. That desire is not ingratitude; it is preparation.</w:t>
      </w:r>
    </w:p>
    <w:p>
      <w:pPr>
        <w:pStyle w:val="Heading2"/>
      </w:pPr>
      <w:r>
        <w:t>3. What should I do first: budget, emergency fund, insurance or investing?</w:t>
      </w:r>
    </w:p>
    <w:p>
      <w:pPr>
        <w:widowControl/>
      </w:pPr>
      <w:r>
        <w:rPr>
          <w:rFonts w:ascii="Aptos" w:hAnsi="Aptos"/>
          <w:b w:val="0"/>
          <w:i w:val="0"/>
          <w:color w:val="24323D"/>
          <w:sz w:val="21"/>
        </w:rPr>
        <w:t>Begin by seeing the cash flow. Then protect near-term stability with accessible emergency money and suitable insurance. High-cost debt may also need urgent attention. Long-term investing becomes stronger when it is not carrying tomorrow’s emergencies.</w:t>
      </w:r>
    </w:p>
    <w:p>
      <w:pPr>
        <w:pStyle w:val="Heading2"/>
      </w:pPr>
      <w:r>
        <w:t>4. How much emergency money is enough?</w:t>
      </w:r>
    </w:p>
    <w:p>
      <w:pPr>
        <w:widowControl/>
      </w:pPr>
      <w:r>
        <w:rPr>
          <w:rFonts w:ascii="Aptos" w:hAnsi="Aptos"/>
          <w:b w:val="0"/>
          <w:i w:val="0"/>
          <w:color w:val="24323D"/>
          <w:sz w:val="21"/>
        </w:rPr>
        <w:t>There is no universal number. Consider essential monthly expenses, income stability, number of earners, dependants, health needs, insurance and access to support. Many planners use several months as a starting range, but the useful target is the one your family can explain and build.</w:t>
      </w:r>
    </w:p>
    <w:p>
      <w:pPr>
        <w:pStyle w:val="Heading2"/>
      </w:pPr>
      <w:r>
        <w:t>5. Should I keep money in my own bank account?</w:t>
      </w:r>
    </w:p>
    <w:p>
      <w:pPr>
        <w:widowControl/>
      </w:pPr>
      <w:r>
        <w:rPr>
          <w:rFonts w:ascii="Aptos" w:hAnsi="Aptos"/>
          <w:b w:val="0"/>
          <w:i w:val="0"/>
          <w:color w:val="24323D"/>
          <w:sz w:val="21"/>
        </w:rPr>
        <w:t>Personal access can support confidence and continuity, but account ownership, taxation, family arrangements and legal rights should be understood. A personal account does not replace shared transparency about essential family finances.</w:t>
      </w:r>
    </w:p>
    <w:p>
      <w:pPr>
        <w:pStyle w:val="Heading1"/>
      </w:pPr>
      <w:r>
        <w:t>Debt, saving and investing</w:t>
      </w:r>
    </w:p>
    <w:p>
      <w:pPr>
        <w:pStyle w:val="Heading2"/>
      </w:pPr>
      <w:r>
        <w:t>6. Should I pay debt before I invest?</w:t>
      </w:r>
    </w:p>
    <w:p>
      <w:pPr>
        <w:widowControl/>
      </w:pPr>
      <w:r>
        <w:rPr>
          <w:rFonts w:ascii="Aptos" w:hAnsi="Aptos"/>
          <w:b w:val="0"/>
          <w:i w:val="0"/>
          <w:color w:val="24323D"/>
          <w:sz w:val="21"/>
        </w:rPr>
        <w:t>Compare the debt’s effective cost, tax treatment, prepayment rules, urgency of the goal and need for emergency savings. Very costly revolving debt often deserves priority. Do not empty every safety reserve merely to become debt-free one day sooner.</w:t>
      </w:r>
    </w:p>
    <w:p>
      <w:pPr>
        <w:pStyle w:val="Heading2"/>
      </w:pPr>
      <w:r>
        <w:t>7. Can I begin investing with ₹500 or ₹1,000?</w:t>
      </w:r>
    </w:p>
    <w:p>
      <w:pPr>
        <w:widowControl/>
      </w:pPr>
      <w:r>
        <w:rPr>
          <w:rFonts w:ascii="Aptos" w:hAnsi="Aptos"/>
          <w:b w:val="0"/>
          <w:i w:val="0"/>
          <w:color w:val="24323D"/>
          <w:sz w:val="21"/>
        </w:rPr>
        <w:t>Many regulated products permit modest starts, but eligibility and minimums vary. The more important question is whether the product matches the goal and whether you can continue without disturbing essential expenses.</w:t>
      </w:r>
    </w:p>
    <w:p>
      <w:pPr>
        <w:pStyle w:val="Heading2"/>
      </w:pPr>
      <w:r>
        <w:t>8. Is an SIP safe?</w:t>
      </w:r>
    </w:p>
    <w:p>
      <w:pPr>
        <w:widowControl/>
      </w:pPr>
      <w:r>
        <w:rPr>
          <w:rFonts w:ascii="Aptos" w:hAnsi="Aptos"/>
          <w:b w:val="0"/>
          <w:i w:val="0"/>
          <w:color w:val="24323D"/>
          <w:sz w:val="21"/>
        </w:rPr>
        <w:t>A SIP is only a method of investing regularly. Its risk comes from the investment selected. A SIP into an equity fund can fall; regular investing does not guarantee profit or protect capital.</w:t>
      </w:r>
    </w:p>
    <w:p>
      <w:pPr>
        <w:pStyle w:val="Heading2"/>
      </w:pPr>
      <w:r>
        <w:t>9. Is an FD better than a mutual fund?</w:t>
      </w:r>
    </w:p>
    <w:p>
      <w:pPr>
        <w:widowControl/>
      </w:pPr>
      <w:r>
        <w:rPr>
          <w:rFonts w:ascii="Aptos" w:hAnsi="Aptos"/>
          <w:b w:val="0"/>
          <w:i w:val="0"/>
          <w:color w:val="24323D"/>
          <w:sz w:val="21"/>
        </w:rPr>
        <w:t>They do different jobs. A bank FD offers defined deposit terms and greater capital stability, subject to bank and deposit-insurance considerations. A mutual fund is market-linked and may suit different horizons and goals. Compare purpose, access, risk, cost and tax—not only return.</w:t>
      </w:r>
    </w:p>
    <w:p>
      <w:pPr>
        <w:pStyle w:val="Heading2"/>
      </w:pPr>
      <w:r>
        <w:t>10. Should I invest a lump sum or use an SIP?</w:t>
      </w:r>
    </w:p>
    <w:p>
      <w:pPr>
        <w:widowControl/>
      </w:pPr>
      <w:r>
        <w:rPr>
          <w:rFonts w:ascii="Aptos" w:hAnsi="Aptos"/>
          <w:b w:val="0"/>
          <w:i w:val="0"/>
          <w:color w:val="24323D"/>
          <w:sz w:val="21"/>
        </w:rPr>
        <w:t>The answer depends on when the money became available, the goal, asset allocation, market risk and your behaviour. A SIP builds regularity; a lump sum puts available money to work sooner. Neither method repairs an unsuitable product.</w:t>
      </w:r>
    </w:p>
    <w:p>
      <w:pPr>
        <w:pStyle w:val="Heading2"/>
      </w:pPr>
      <w:r>
        <w:t>11. How many mutual funds do I need?</w:t>
      </w:r>
    </w:p>
    <w:p>
      <w:pPr>
        <w:widowControl/>
      </w:pPr>
      <w:r>
        <w:rPr>
          <w:rFonts w:ascii="Aptos" w:hAnsi="Aptos"/>
          <w:b w:val="0"/>
          <w:i w:val="0"/>
          <w:color w:val="24323D"/>
          <w:sz w:val="21"/>
        </w:rPr>
        <w:t>More funds do not automatically mean more diversification. Several funds may own similar securities. Begin with the goals and desired asset allocation; understand overlap, cost and purpose before adding another scheme.</w:t>
      </w:r>
    </w:p>
    <w:p>
      <w:pPr>
        <w:pStyle w:val="Heading2"/>
      </w:pPr>
      <w:r>
        <w:t>12. Should I stop an SIP when the market falls?</w:t>
      </w:r>
    </w:p>
    <w:p>
      <w:pPr>
        <w:widowControl/>
      </w:pPr>
      <w:r>
        <w:rPr>
          <w:rFonts w:ascii="Aptos" w:hAnsi="Aptos"/>
          <w:b w:val="0"/>
          <w:i w:val="0"/>
          <w:color w:val="24323D"/>
          <w:sz w:val="21"/>
        </w:rPr>
        <w:t>A fall is uncomfortable, but stopping should not be an automatic reaction. Revisit the goal, time horizon, emergency needs, asset allocation and whether the investment remains suitable. If the money is needed soon or your circumstances changed, obtain appropriate advice.</w:t>
      </w:r>
    </w:p>
    <w:p>
      <w:pPr>
        <w:pStyle w:val="Heading2"/>
      </w:pPr>
      <w:r>
        <w:t>13. Is gold a good investment for a mother?</w:t>
      </w:r>
    </w:p>
    <w:p>
      <w:pPr>
        <w:widowControl/>
      </w:pPr>
      <w:r>
        <w:rPr>
          <w:rFonts w:ascii="Aptos" w:hAnsi="Aptos"/>
          <w:b w:val="0"/>
          <w:i w:val="0"/>
          <w:color w:val="24323D"/>
          <w:sz w:val="21"/>
        </w:rPr>
        <w:t>Gold can diversify some portfolios and has cultural uses, but jewellery includes making charges and storage concerns, while market-linked forms fluctuate. Decide whether the purchase is for wearing, gifting, emergency tradition or portfolio exposure; those are different jobs.</w:t>
      </w:r>
    </w:p>
    <w:p>
      <w:pPr>
        <w:pStyle w:val="Heading2"/>
      </w:pPr>
      <w:r>
        <w:t>14. Should property be our first investment?</w:t>
      </w:r>
    </w:p>
    <w:p>
      <w:pPr>
        <w:widowControl/>
      </w:pPr>
      <w:r>
        <w:rPr>
          <w:rFonts w:ascii="Aptos" w:hAnsi="Aptos"/>
          <w:b w:val="0"/>
          <w:i w:val="0"/>
          <w:color w:val="24323D"/>
          <w:sz w:val="21"/>
        </w:rPr>
        <w:t>Property can provide use, rent or appreciation, but it is concentrated, expensive, illiquid and legally demanding. A home for living and a property bought for return should be evaluated differently. Include loan cost, taxes, maintenance, vacancy and transaction expenses.</w:t>
      </w:r>
    </w:p>
    <w:p>
      <w:pPr>
        <w:pStyle w:val="Heading2"/>
      </w:pPr>
      <w:r>
        <w:t>15. Can I learn direct stocks from home?</w:t>
      </w:r>
    </w:p>
    <w:p>
      <w:pPr>
        <w:widowControl/>
      </w:pPr>
      <w:r>
        <w:rPr>
          <w:rFonts w:ascii="Aptos" w:hAnsi="Aptos"/>
          <w:b w:val="0"/>
          <w:i w:val="0"/>
          <w:color w:val="24323D"/>
          <w:sz w:val="21"/>
        </w:rPr>
        <w:t>Yes, but convenience does not reduce risk. Direct shares require research, diversification, record-keeping and the ability to tolerate loss. Do not begin with emergency money, borrowed money, tips or derivatives presented as easy income.</w:t>
      </w:r>
    </w:p>
    <w:p>
      <w:pPr>
        <w:pStyle w:val="Heading1"/>
      </w:pPr>
      <w:r>
        <w:t>Children, retirement and protection</w:t>
      </w:r>
    </w:p>
    <w:p>
      <w:pPr>
        <w:pStyle w:val="Heading2"/>
      </w:pPr>
      <w:r>
        <w:t>16. Should my child’s education come before my retirement?</w:t>
      </w:r>
    </w:p>
    <w:p>
      <w:pPr>
        <w:widowControl/>
      </w:pPr>
      <w:r>
        <w:rPr>
          <w:rFonts w:ascii="Aptos" w:hAnsi="Aptos"/>
          <w:b w:val="0"/>
          <w:i w:val="0"/>
          <w:color w:val="24323D"/>
          <w:sz w:val="21"/>
        </w:rPr>
        <w:t>Both matter, but neglecting retirement can later create pressure for the child. Education may have loans, scholarships and flexible pathways; retirement usually cannot be financed the same way. Plan the goals together instead of treating the mother’s future as optional.</w:t>
      </w:r>
    </w:p>
    <w:p>
      <w:pPr>
        <w:pStyle w:val="Heading2"/>
      </w:pPr>
      <w:r>
        <w:t>17. Is Sukanya Samriddhi enough for my daughter’s future?</w:t>
      </w:r>
    </w:p>
    <w:p>
      <w:pPr>
        <w:widowControl/>
      </w:pPr>
      <w:r>
        <w:rPr>
          <w:rFonts w:ascii="Aptos" w:hAnsi="Aptos"/>
          <w:b w:val="0"/>
          <w:i w:val="0"/>
          <w:color w:val="24323D"/>
          <w:sz w:val="21"/>
        </w:rPr>
        <w:t>It may be one useful long-term account for an eligible girl child, but “enough” depends on the goal, inflation, contributions and other resources. One government scheme should not replace a complete education plan or the parents’ protection and retirement.</w:t>
      </w:r>
    </w:p>
    <w:p>
      <w:pPr>
        <w:pStyle w:val="Heading2"/>
      </w:pPr>
      <w:r>
        <w:t>18. Do homemakers need life insurance?</w:t>
      </w:r>
    </w:p>
    <w:p>
      <w:pPr>
        <w:widowControl/>
      </w:pPr>
      <w:r>
        <w:rPr>
          <w:rFonts w:ascii="Aptos" w:hAnsi="Aptos"/>
          <w:b w:val="0"/>
          <w:i w:val="0"/>
          <w:color w:val="24323D"/>
          <w:sz w:val="21"/>
        </w:rPr>
        <w:t>A homemaker’s unpaid work has economic value: childcare, household management and care would cost money to replace. Whether and how much cover is appropriate depends on family circumstances. Insurance should address the financial effect of loss, not only replace salary.</w:t>
      </w:r>
    </w:p>
    <w:p>
      <w:pPr>
        <w:pStyle w:val="Heading2"/>
      </w:pPr>
      <w:r>
        <w:t>19. Is employer health insurance enough?</w:t>
      </w:r>
    </w:p>
    <w:p>
      <w:pPr>
        <w:widowControl/>
      </w:pPr>
      <w:r>
        <w:rPr>
          <w:rFonts w:ascii="Aptos" w:hAnsi="Aptos"/>
          <w:b w:val="0"/>
          <w:i w:val="0"/>
          <w:color w:val="24323D"/>
          <w:sz w:val="21"/>
        </w:rPr>
        <w:t>It may be valuable but can change with employment, retirement or policy terms. Review the cover amount, dependants, exclusions, waiting periods, network and continuity. Do not discover the limits only during a hospital admission.</w:t>
      </w:r>
    </w:p>
    <w:p>
      <w:pPr>
        <w:pStyle w:val="Heading2"/>
      </w:pPr>
      <w:r>
        <w:t>20. What is the difference between nominee and legal heir?</w:t>
      </w:r>
    </w:p>
    <w:p>
      <w:pPr>
        <w:widowControl/>
      </w:pPr>
      <w:r>
        <w:rPr>
          <w:rFonts w:ascii="Aptos" w:hAnsi="Aptos"/>
          <w:b w:val="0"/>
          <w:i w:val="0"/>
          <w:color w:val="24323D"/>
          <w:sz w:val="21"/>
        </w:rPr>
        <w:t>A nominee is named to receive or handle an asset under the relevant product rules; ultimate legal ownership can depend on the asset and succession law. Nomination is important but may not replace a valid will or estate advice.</w:t>
      </w:r>
    </w:p>
    <w:p>
      <w:pPr>
        <w:pStyle w:val="Heading1"/>
      </w:pPr>
      <w:r>
        <w:t>Work, tax and professional help</w:t>
      </w:r>
    </w:p>
    <w:p>
      <w:pPr>
        <w:pStyle w:val="Heading2"/>
      </w:pPr>
      <w:r>
        <w:t>21. I earn a little from freelancing. Is it taxable?</w:t>
      </w:r>
    </w:p>
    <w:p>
      <w:pPr>
        <w:widowControl/>
      </w:pPr>
      <w:r>
        <w:rPr>
          <w:rFonts w:ascii="Aptos" w:hAnsi="Aptos"/>
          <w:b w:val="0"/>
          <w:i w:val="0"/>
          <w:color w:val="24323D"/>
          <w:sz w:val="21"/>
        </w:rPr>
        <w:t>Small or irregular income can still be taxable and reportable depending on total income and the law. Keep invoices, receipts, bank records and genuine expense evidence. Seek tax advice when the work becomes regular, crosses compliance thresholds or includes foreign clients.</w:t>
      </w:r>
    </w:p>
    <w:p>
      <w:pPr>
        <w:pStyle w:val="Heading2"/>
      </w:pPr>
      <w:r>
        <w:t>22. Should I choose the old or new tax regime?</w:t>
      </w:r>
    </w:p>
    <w:p>
      <w:pPr>
        <w:widowControl/>
      </w:pPr>
      <w:r>
        <w:rPr>
          <w:rFonts w:ascii="Aptos" w:hAnsi="Aptos"/>
          <w:b w:val="0"/>
          <w:i w:val="0"/>
          <w:color w:val="24323D"/>
          <w:sz w:val="21"/>
        </w:rPr>
        <w:t>Calculate both using the current year’s rules and your actual eligible deductions and income types. The default regime is not automatically best, and last year’s choice may not remain best. Business or professional income can affect switching rules.</w:t>
      </w:r>
    </w:p>
    <w:p>
      <w:pPr>
        <w:pStyle w:val="Heading2"/>
      </w:pPr>
      <w:r>
        <w:t>23. When do I need a financial adviser?</w:t>
      </w:r>
    </w:p>
    <w:p>
      <w:pPr>
        <w:widowControl/>
      </w:pPr>
      <w:r>
        <w:rPr>
          <w:rFonts w:ascii="Aptos" w:hAnsi="Aptos"/>
          <w:b w:val="0"/>
          <w:i w:val="0"/>
          <w:color w:val="24323D"/>
          <w:sz w:val="21"/>
        </w:rPr>
        <w:t>Consider help when goals conflict, products are complex, the amount is significant, family members disagree, you face a major life event or you do not have time to manage responsibly. Verify registration, scope, compensation and conflicts before sharing documents or paying.</w:t>
      </w:r>
    </w:p>
    <w:p>
      <w:pPr>
        <w:pStyle w:val="Heading2"/>
      </w:pPr>
      <w:r>
        <w:t>24. Can I trust advice from my bank?</w:t>
      </w:r>
    </w:p>
    <w:p>
      <w:pPr>
        <w:widowControl/>
      </w:pPr>
      <w:r>
        <w:rPr>
          <w:rFonts w:ascii="Aptos" w:hAnsi="Aptos"/>
          <w:b w:val="0"/>
          <w:i w:val="0"/>
          <w:color w:val="24323D"/>
          <w:sz w:val="21"/>
        </w:rPr>
        <w:t>A bank employee or relationship manager may be helpful, but may also distribute products. Ask whether the conversation is advice or sales, how the person is compensated, what alternatives exist and where risks and costs are written. “Offered by my bank” is not the same as “suitable for me.”</w:t>
      </w:r>
    </w:p>
    <w:p>
      <w:pPr>
        <w:pStyle w:val="Heading2"/>
      </w:pPr>
      <w:r>
        <w:t>25. What if my partner does not want to discuss money?</w:t>
      </w:r>
    </w:p>
    <w:p>
      <w:pPr>
        <w:widowControl/>
      </w:pPr>
      <w:r>
        <w:rPr>
          <w:rFonts w:ascii="Aptos" w:hAnsi="Aptos"/>
          <w:b w:val="0"/>
          <w:i w:val="0"/>
          <w:color w:val="24323D"/>
          <w:sz w:val="21"/>
        </w:rPr>
        <w:t>Begin with continuity rather than control: “If one of us were unavailable for a week, could the other manage essential payments and find documents?” Choose one short task—such as creating a family financial folder—rather than attempting every sensitive issue at once. If secrecy, coercion or safety is involved, seek appropriate confidential support.</w:t>
      </w:r>
    </w:p>
    <w:p>
      <w:pPr>
        <w:pStyle w:val="Heading2"/>
      </w:pPr>
      <w:r>
        <w:t>26. What if I have made a financial mistake?</w:t>
      </w:r>
    </w:p>
    <w:p>
      <w:pPr>
        <w:widowControl/>
      </w:pPr>
      <w:r>
        <w:rPr>
          <w:rFonts w:ascii="Aptos" w:hAnsi="Aptos"/>
          <w:b w:val="0"/>
          <w:i w:val="0"/>
          <w:color w:val="24323D"/>
          <w:sz w:val="21"/>
        </w:rPr>
        <w:t>Stop further harm, gather facts and ask for qualified help. A poor product, missed filing, fraud or debt problem is easier to address when faced early. Do not pay a “recovery” agent or take a larger risk to win back a loss quickly.</w:t>
      </w:r>
    </w:p>
    <w:p>
      <w:pPr>
        <w:pStyle w:val="Heading1"/>
      </w:pPr>
      <w:r>
        <w:t>Five questions when the answer still feels unclear</w:t>
      </w:r>
    </w:p>
    <w:p>
      <w:pPr>
        <w:pStyle w:val="ListBullet"/>
        <w:spacing w:after="60"/>
        <w:ind w:left="504" w:hanging="259"/>
      </w:pPr>
      <w:r>
        <w:rPr>
          <w:rFonts w:ascii="Aptos" w:hAnsi="Aptos"/>
          <w:b w:val="0"/>
          <w:i w:val="0"/>
          <w:color w:val="24323D"/>
          <w:sz w:val="20"/>
        </w:rPr>
        <w:t>What exact goal is this money serving?</w:t>
      </w:r>
    </w:p>
    <w:p>
      <w:pPr>
        <w:pStyle w:val="ListBullet"/>
        <w:spacing w:after="60"/>
        <w:ind w:left="504" w:hanging="259"/>
      </w:pPr>
      <w:r>
        <w:rPr>
          <w:rFonts w:ascii="Aptos" w:hAnsi="Aptos"/>
          <w:b w:val="0"/>
          <w:i w:val="0"/>
          <w:color w:val="24323D"/>
          <w:sz w:val="20"/>
        </w:rPr>
        <w:t>When will I need it?</w:t>
      </w:r>
    </w:p>
    <w:p>
      <w:pPr>
        <w:pStyle w:val="ListBullet"/>
        <w:spacing w:after="60"/>
        <w:ind w:left="504" w:hanging="259"/>
      </w:pPr>
      <w:r>
        <w:rPr>
          <w:rFonts w:ascii="Aptos" w:hAnsi="Aptos"/>
          <w:b w:val="0"/>
          <w:i w:val="0"/>
          <w:color w:val="24323D"/>
          <w:sz w:val="20"/>
        </w:rPr>
        <w:t>What can go wrong, and can my family absorb that outcome?</w:t>
      </w:r>
    </w:p>
    <w:p>
      <w:pPr>
        <w:pStyle w:val="ListBullet"/>
        <w:spacing w:after="60"/>
        <w:ind w:left="504" w:hanging="259"/>
      </w:pPr>
      <w:r>
        <w:rPr>
          <w:rFonts w:ascii="Aptos" w:hAnsi="Aptos"/>
          <w:b w:val="0"/>
          <w:i w:val="0"/>
          <w:color w:val="24323D"/>
          <w:sz w:val="20"/>
        </w:rPr>
        <w:t>What will I pay in fees, tax, penalties and lost access?</w:t>
      </w:r>
    </w:p>
    <w:p>
      <w:pPr>
        <w:pStyle w:val="ListBullet"/>
        <w:spacing w:after="60"/>
        <w:ind w:left="504" w:hanging="259"/>
      </w:pPr>
      <w:r>
        <w:rPr>
          <w:rFonts w:ascii="Aptos" w:hAnsi="Aptos"/>
          <w:b w:val="0"/>
          <w:i w:val="0"/>
          <w:color w:val="24323D"/>
          <w:sz w:val="20"/>
        </w:rPr>
        <w:t>Which official document or qualified professional can verify the answer?</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A confident question is not “What is everyone else doing?” It is “What fits the life, responsibilities and choices our family is building?”</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Choose the FAQ that felt most personal. Write the facts you already know, the facts you need to find and the one person or official source that can help you verify them.</w:t>
            </w:r>
          </w:p>
        </w:tc>
      </w:tr>
    </w:tbl>
    <w:p>
      <w:pPr>
        <w:spacing w:after="20"/>
      </w:pPr>
    </w:p>
    <w:p>
      <w:r>
        <w:br w:type="page"/>
      </w:r>
    </w:p>
    <w:p>
      <w:pPr>
        <w:pStyle w:val="MVKicker"/>
        <w:widowControl/>
      </w:pPr>
      <w:r>
        <w:rPr>
          <w:rFonts w:ascii="Aptos" w:hAnsi="Aptos"/>
          <w:b w:val="0"/>
          <w:i w:val="0"/>
          <w:color w:val="24323D"/>
          <w:sz w:val="21"/>
        </w:rPr>
        <w:t>CHAPTER 24</w:t>
      </w:r>
    </w:p>
    <w:p>
      <w:pPr>
        <w:pStyle w:val="Title"/>
      </w:pPr>
      <w:r>
        <w:t>Your Financial Journey Begins</w:t>
      </w:r>
    </w:p>
    <w:p>
      <w:pPr>
        <w:pStyle w:val="MVQuote"/>
        <w:widowControl/>
      </w:pPr>
      <w:r>
        <w:rPr>
          <w:rFonts w:ascii="Aptos" w:hAnsi="Aptos"/>
          <w:b w:val="0"/>
          <w:i/>
          <w:color w:val="24323D"/>
          <w:sz w:val="21"/>
        </w:rPr>
        <w:t>“You were never expected to know everything. You only needed a safe place to begin.”</w:t>
      </w:r>
    </w:p>
    <w:p>
      <w:pPr>
        <w:widowControl/>
      </w:pPr>
      <w:r>
        <w:rPr>
          <w:rFonts w:ascii="Aptos" w:hAnsi="Aptos"/>
          <w:b w:val="0"/>
          <w:i w:val="0"/>
          <w:color w:val="24323D"/>
          <w:sz w:val="21"/>
        </w:rPr>
        <w:t>Do you remember the question at the beginning of this companion?</w:t>
      </w:r>
    </w:p>
    <w:p>
      <w:pPr>
        <w:widowControl/>
      </w:pPr>
      <w:r>
        <w:rPr>
          <w:rFonts w:ascii="Aptos" w:hAnsi="Aptos"/>
          <w:b w:val="0"/>
          <w:i w:val="0"/>
          <w:color w:val="24323D"/>
          <w:sz w:val="21"/>
        </w:rPr>
        <w:t>“If life changes tomorrow, will I know what to do?”</w:t>
      </w:r>
    </w:p>
    <w:p>
      <w:pPr>
        <w:widowControl/>
      </w:pPr>
      <w:r>
        <w:rPr>
          <w:rFonts w:ascii="Aptos" w:hAnsi="Aptos"/>
          <w:b w:val="0"/>
          <w:i w:val="0"/>
          <w:color w:val="24323D"/>
          <w:sz w:val="21"/>
        </w:rPr>
        <w:t>You may not know every answer. None of us does. But you now know how to look at the family’s money, prepare for an emergency, understand common products, ask about risk, recognise a scam, organise important documents and find a reliable source.</w:t>
      </w:r>
    </w:p>
    <w:p>
      <w:pPr>
        <w:widowControl/>
      </w:pPr>
      <w:r>
        <w:rPr>
          <w:rFonts w:ascii="Aptos" w:hAnsi="Aptos"/>
          <w:b w:val="0"/>
          <w:i w:val="0"/>
          <w:color w:val="24323D"/>
          <w:sz w:val="21"/>
        </w:rPr>
        <w:t>That is financial confidence. Not certainty. Capability.</w:t>
      </w:r>
    </w:p>
    <w:p>
      <w:pPr>
        <w:pStyle w:val="Heading1"/>
      </w:pPr>
      <w:r>
        <w:t>What you have built</w:t>
      </w:r>
    </w:p>
    <w:tbl>
      <w:tblPr>
        <w:tblStyle w:val="TableGrid"/>
        <w:tblW w:type="dxa" w:w="9360"/>
        <w:jc w:val="center"/>
        <w:tblLayout w:type="fixed"/>
        <w:tblLook w:firstColumn="1" w:firstRow="1" w:lastColumn="0" w:lastRow="0" w:noHBand="0" w:noVBand="1" w:val="04A0"/>
        <w:tblInd w:w="120" w:type="dxa"/>
      </w:tblPr>
      <w:tblGrid>
        <w:gridCol w:w="3800"/>
        <w:gridCol w:w="5560"/>
      </w:tblGrid>
      <w:tr>
        <w:trPr>
          <w:tblHeader w:val="true"/>
        </w:trPr>
        <w:tc>
          <w:tcPr>
            <w:tcW w:type="dxa" w:w="3800"/>
            <w:tcMar>
              <w:top w:w="90" w:type="dxa"/>
              <w:start w:w="120" w:type="dxa"/>
              <w:bottom w:w="90" w:type="dxa"/>
              <w:end w:w="120" w:type="dxa"/>
            </w:tcMar>
            <w:shd w:fill="24445C"/>
            <w:vAlign w:val="center"/>
          </w:tcPr>
          <w:p>
            <w:pPr>
              <w:spacing w:after="0"/>
            </w:pPr>
            <w:r>
              <w:rPr>
                <w:rFonts w:ascii="Aptos" w:hAnsi="Aptos"/>
                <w:b/>
                <w:i w:val="0"/>
                <w:color w:val="FFFFFF"/>
                <w:sz w:val="18"/>
              </w:rPr>
              <w:t>You began with…</w:t>
            </w:r>
          </w:p>
        </w:tc>
        <w:tc>
          <w:tcPr>
            <w:tcW w:type="dxa" w:w="5560"/>
            <w:tcMar>
              <w:top w:w="90" w:type="dxa"/>
              <w:start w:w="120" w:type="dxa"/>
              <w:bottom w:w="90" w:type="dxa"/>
              <w:end w:w="120" w:type="dxa"/>
            </w:tcMar>
            <w:shd w:fill="24445C"/>
            <w:vAlign w:val="center"/>
          </w:tcPr>
          <w:p>
            <w:pPr>
              <w:spacing w:after="0"/>
            </w:pPr>
            <w:r>
              <w:rPr>
                <w:rFonts w:ascii="Aptos" w:hAnsi="Aptos"/>
                <w:b/>
                <w:i w:val="0"/>
                <w:color w:val="FFFFFF"/>
                <w:sz w:val="18"/>
              </w:rPr>
              <w:t>You can now move toward…</w:t>
            </w:r>
          </w:p>
        </w:tc>
      </w:tr>
      <w:tr>
        <w:tc>
          <w:tcPr>
            <w:tcW w:type="dxa" w:w="3800"/>
            <w:tcMar>
              <w:top w:w="90" w:type="dxa"/>
              <w:start w:w="120" w:type="dxa"/>
              <w:bottom w:w="90" w:type="dxa"/>
              <w:end w:w="120" w:type="dxa"/>
            </w:tcMar>
            <w:vAlign w:val="center"/>
          </w:tcPr>
          <w:p>
            <w:pPr>
              <w:spacing w:after="0" w:line="252" w:lineRule="auto"/>
            </w:pPr>
            <w:r>
              <w:rPr>
                <w:rFonts w:ascii="Aptos" w:hAnsi="Aptos"/>
                <w:b w:val="0"/>
                <w:i w:val="0"/>
                <w:color w:val="24323D"/>
                <w:sz w:val="18"/>
              </w:rPr>
              <w:t>“Money feels like a test.”</w:t>
            </w:r>
          </w:p>
        </w:tc>
        <w:tc>
          <w:tcPr>
            <w:tcW w:type="dxa" w:w="5560"/>
            <w:tcMar>
              <w:top w:w="90" w:type="dxa"/>
              <w:start w:w="120" w:type="dxa"/>
              <w:bottom w:w="90" w:type="dxa"/>
              <w:end w:w="120" w:type="dxa"/>
            </w:tcMar>
            <w:vAlign w:val="center"/>
          </w:tcPr>
          <w:p>
            <w:pPr>
              <w:spacing w:after="0" w:line="252" w:lineRule="auto"/>
            </w:pPr>
            <w:r>
              <w:rPr>
                <w:rFonts w:ascii="Aptos" w:hAnsi="Aptos"/>
                <w:b w:val="0"/>
                <w:i w:val="0"/>
                <w:color w:val="24323D"/>
                <w:sz w:val="18"/>
              </w:rPr>
              <w:t>“Money is a set of skills I can learn.”</w:t>
            </w:r>
          </w:p>
        </w:tc>
      </w:tr>
      <w:tr>
        <w:tc>
          <w:tcPr>
            <w:tcW w:type="dxa" w:w="3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“I do not know where it goes.”</w:t>
            </w:r>
          </w:p>
        </w:tc>
        <w:tc>
          <w:tcPr>
            <w:tcW w:type="dxa" w:w="55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“I can see our cash flow without judging myself.”</w:t>
            </w:r>
          </w:p>
        </w:tc>
      </w:tr>
      <w:tr>
        <w:tc>
          <w:tcPr>
            <w:tcW w:type="dxa" w:w="3800"/>
            <w:tcMar>
              <w:top w:w="90" w:type="dxa"/>
              <w:start w:w="120" w:type="dxa"/>
              <w:bottom w:w="90" w:type="dxa"/>
              <w:end w:w="120" w:type="dxa"/>
            </w:tcMar>
            <w:vAlign w:val="center"/>
          </w:tcPr>
          <w:p>
            <w:pPr>
              <w:spacing w:after="0" w:line="252" w:lineRule="auto"/>
            </w:pPr>
            <w:r>
              <w:rPr>
                <w:rFonts w:ascii="Aptos" w:hAnsi="Aptos"/>
                <w:b w:val="0"/>
                <w:i w:val="0"/>
                <w:color w:val="24323D"/>
                <w:sz w:val="18"/>
              </w:rPr>
              <w:t>“What if something goes wrong?”</w:t>
            </w:r>
          </w:p>
        </w:tc>
        <w:tc>
          <w:tcPr>
            <w:tcW w:type="dxa" w:w="5560"/>
            <w:tcMar>
              <w:top w:w="90" w:type="dxa"/>
              <w:start w:w="120" w:type="dxa"/>
              <w:bottom w:w="90" w:type="dxa"/>
              <w:end w:w="120" w:type="dxa"/>
            </w:tcMar>
            <w:vAlign w:val="center"/>
          </w:tcPr>
          <w:p>
            <w:pPr>
              <w:spacing w:after="0" w:line="252" w:lineRule="auto"/>
            </w:pPr>
            <w:r>
              <w:rPr>
                <w:rFonts w:ascii="Aptos" w:hAnsi="Aptos"/>
                <w:b w:val="0"/>
                <w:i w:val="0"/>
                <w:color w:val="24323D"/>
                <w:sz w:val="18"/>
              </w:rPr>
              <w:t>“We can build a safety net and protection plan.”</w:t>
            </w:r>
          </w:p>
        </w:tc>
      </w:tr>
      <w:tr>
        <w:tc>
          <w:tcPr>
            <w:tcW w:type="dxa" w:w="3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“Investing is only for experts.”</w:t>
            </w:r>
          </w:p>
        </w:tc>
        <w:tc>
          <w:tcPr>
            <w:tcW w:type="dxa" w:w="55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“I can understand the purpose, risk, cost and time horizon.”</w:t>
            </w:r>
          </w:p>
        </w:tc>
      </w:tr>
      <w:tr>
        <w:tc>
          <w:tcPr>
            <w:tcW w:type="dxa" w:w="3800"/>
            <w:tcMar>
              <w:top w:w="90" w:type="dxa"/>
              <w:start w:w="120" w:type="dxa"/>
              <w:bottom w:w="90" w:type="dxa"/>
              <w:end w:w="120" w:type="dxa"/>
            </w:tcMar>
            <w:vAlign w:val="center"/>
          </w:tcPr>
          <w:p>
            <w:pPr>
              <w:spacing w:after="0" w:line="252" w:lineRule="auto"/>
            </w:pPr>
            <w:r>
              <w:rPr>
                <w:rFonts w:ascii="Aptos" w:hAnsi="Aptos"/>
                <w:b w:val="0"/>
                <w:i w:val="0"/>
                <w:color w:val="24323D"/>
                <w:sz w:val="18"/>
              </w:rPr>
              <w:t>“I have to trust whoever sounds confident.”</w:t>
            </w:r>
          </w:p>
        </w:tc>
        <w:tc>
          <w:tcPr>
            <w:tcW w:type="dxa" w:w="5560"/>
            <w:tcMar>
              <w:top w:w="90" w:type="dxa"/>
              <w:start w:w="120" w:type="dxa"/>
              <w:bottom w:w="90" w:type="dxa"/>
              <w:end w:w="120" w:type="dxa"/>
            </w:tcMar>
            <w:vAlign w:val="center"/>
          </w:tcPr>
          <w:p>
            <w:pPr>
              <w:spacing w:after="0" w:line="252" w:lineRule="auto"/>
            </w:pPr>
            <w:r>
              <w:rPr>
                <w:rFonts w:ascii="Aptos" w:hAnsi="Aptos"/>
                <w:b w:val="0"/>
                <w:i w:val="0"/>
                <w:color w:val="24323D"/>
                <w:sz w:val="18"/>
              </w:rPr>
              <w:t>“I can verify professionals, products and official sources.”</w:t>
            </w:r>
          </w:p>
        </w:tc>
      </w:tr>
      <w:tr>
        <w:tc>
          <w:tcPr>
            <w:tcW w:type="dxa" w:w="38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“I would not know what to do after fraud.”</w:t>
            </w:r>
          </w:p>
        </w:tc>
        <w:tc>
          <w:tcPr>
            <w:tcW w:type="dxa" w:w="55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“I can report quickly, preserve evidence and protect accounts.”</w:t>
            </w:r>
          </w:p>
        </w:tc>
      </w:tr>
      <w:tr>
        <w:tc>
          <w:tcPr>
            <w:tcW w:type="dxa" w:w="3800"/>
            <w:tcMar>
              <w:top w:w="90" w:type="dxa"/>
              <w:start w:w="120" w:type="dxa"/>
              <w:bottom w:w="90" w:type="dxa"/>
              <w:end w:w="120" w:type="dxa"/>
            </w:tcMar>
            <w:vAlign w:val="center"/>
          </w:tcPr>
          <w:p>
            <w:pPr>
              <w:spacing w:after="0" w:line="252" w:lineRule="auto"/>
            </w:pPr>
            <w:r>
              <w:rPr>
                <w:rFonts w:ascii="Aptos" w:hAnsi="Aptos"/>
                <w:b w:val="0"/>
                <w:i w:val="0"/>
                <w:color w:val="24323D"/>
                <w:sz w:val="18"/>
              </w:rPr>
              <w:t>“My future has been paused.”</w:t>
            </w:r>
          </w:p>
        </w:tc>
        <w:tc>
          <w:tcPr>
            <w:tcW w:type="dxa" w:w="5560"/>
            <w:tcMar>
              <w:top w:w="90" w:type="dxa"/>
              <w:start w:w="120" w:type="dxa"/>
              <w:bottom w:w="90" w:type="dxa"/>
              <w:end w:w="120" w:type="dxa"/>
            </w:tcMar>
            <w:vAlign w:val="center"/>
          </w:tcPr>
          <w:p>
            <w:pPr>
              <w:spacing w:after="0" w:line="252" w:lineRule="auto"/>
            </w:pPr>
            <w:r>
              <w:rPr>
                <w:rFonts w:ascii="Aptos" w:hAnsi="Aptos"/>
                <w:b w:val="0"/>
                <w:i w:val="0"/>
                <w:color w:val="24323D"/>
                <w:sz w:val="18"/>
              </w:rPr>
              <w:t>“My choices still exist, and I can prepare at my own pace.”</w:t>
            </w:r>
          </w:p>
        </w:tc>
      </w:tr>
    </w:tbl>
    <w:p>
      <w:pPr>
        <w:spacing w:after="20"/>
      </w:pPr>
    </w:p>
    <w:p>
      <w:pPr>
        <w:pStyle w:val="Heading1"/>
      </w:pPr>
      <w:r>
        <w:t>Your 30-day financial-confidence roadmap</w:t>
      </w:r>
    </w:p>
    <w:p>
      <w:pPr>
        <w:pStyle w:val="Heading2"/>
      </w:pPr>
      <w:r>
        <w:t>Week 1 — See clearly</w:t>
      </w:r>
    </w:p>
    <w:tbl>
      <w:tblPr>
        <w:tblStyle w:val="TableGrid"/>
        <w:tblW w:type="dxa" w:w="9360"/>
        <w:jc w:val="center"/>
        <w:tblLayout w:type="fixed"/>
        <w:tblLook w:firstColumn="1" w:firstRow="1" w:lastColumn="0" w:lastRow="0" w:noHBand="0" w:noVBand="1" w:val="04A0"/>
        <w:tblInd w:w="120" w:type="dxa"/>
      </w:tblPr>
      <w:tblGrid>
        <w:gridCol w:w="900"/>
        <w:gridCol w:w="8460"/>
      </w:tblGrid>
      <w:tr>
        <w:trPr>
          <w:tblHeader w:val="true"/>
        </w:trPr>
        <w:tc>
          <w:tcPr>
            <w:tcW w:type="dxa" w:w="900"/>
            <w:tcMar>
              <w:top w:w="90" w:type="dxa"/>
              <w:start w:w="120" w:type="dxa"/>
              <w:bottom w:w="90" w:type="dxa"/>
              <w:end w:w="120" w:type="dxa"/>
            </w:tcMar>
            <w:shd w:fill="24445C"/>
            <w:vAlign w:val="center"/>
          </w:tcPr>
          <w:p>
            <w:pPr>
              <w:spacing w:after="0"/>
            </w:pPr>
            <w:r>
              <w:rPr>
                <w:rFonts w:ascii="Aptos" w:hAnsi="Aptos"/>
                <w:b/>
                <w:i w:val="0"/>
                <w:color w:val="FFFFFF"/>
                <w:sz w:val="18"/>
              </w:rPr>
              <w:t>Day</w:t>
            </w:r>
          </w:p>
        </w:tc>
        <w:tc>
          <w:tcPr>
            <w:tcW w:type="dxa" w:w="8460"/>
            <w:tcMar>
              <w:top w:w="90" w:type="dxa"/>
              <w:start w:w="120" w:type="dxa"/>
              <w:bottom w:w="90" w:type="dxa"/>
              <w:end w:w="120" w:type="dxa"/>
            </w:tcMar>
            <w:shd w:fill="24445C"/>
            <w:vAlign w:val="center"/>
          </w:tcPr>
          <w:p>
            <w:pPr>
              <w:spacing w:after="0"/>
            </w:pPr>
            <w:r>
              <w:rPr>
                <w:rFonts w:ascii="Aptos" w:hAnsi="Aptos"/>
                <w:b/>
                <w:i w:val="0"/>
                <w:color w:val="FFFFFF"/>
                <w:sz w:val="18"/>
              </w:rPr>
              <w:t>Ten-minute action</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1</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Write every source of household income.</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2</w:t>
            </w:r>
          </w:p>
        </w:tc>
        <w:tc>
          <w:tcPr>
            <w:tcW w:type="dxa" w:w="8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List essential monthly expenses.</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3</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List loans, cards and minimum payments.</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4</w:t>
            </w:r>
          </w:p>
        </w:tc>
        <w:tc>
          <w:tcPr>
            <w:tcW w:type="dxa" w:w="8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Find the latest bank and investment statements.</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5</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Check where emergency money is held.</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6</w:t>
            </w:r>
          </w:p>
        </w:tc>
        <w:tc>
          <w:tcPr>
            <w:tcW w:type="dxa" w:w="8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Write three financial goals and dates.</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7</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Have one no-blame money conversation.</w:t>
            </w:r>
          </w:p>
        </w:tc>
      </w:tr>
    </w:tbl>
    <w:p>
      <w:pPr>
        <w:spacing w:after="20"/>
      </w:pPr>
    </w:p>
    <w:p>
      <w:pPr>
        <w:pStyle w:val="Heading2"/>
      </w:pPr>
      <w:r>
        <w:t>Week 2 — Protect the family</w:t>
      </w:r>
    </w:p>
    <w:tbl>
      <w:tblPr>
        <w:tblStyle w:val="TableGrid"/>
        <w:tblW w:type="dxa" w:w="9360"/>
        <w:jc w:val="center"/>
        <w:tblLayout w:type="fixed"/>
        <w:tblLook w:firstColumn="1" w:firstRow="1" w:lastColumn="0" w:lastRow="0" w:noHBand="0" w:noVBand="1" w:val="04A0"/>
        <w:tblInd w:w="120" w:type="dxa"/>
      </w:tblPr>
      <w:tblGrid>
        <w:gridCol w:w="900"/>
        <w:gridCol w:w="8460"/>
      </w:tblGrid>
      <w:tr>
        <w:trPr>
          <w:tblHeader w:val="true"/>
        </w:trPr>
        <w:tc>
          <w:tcPr>
            <w:tcW w:type="dxa" w:w="900"/>
            <w:tcMar>
              <w:top w:w="90" w:type="dxa"/>
              <w:start w:w="120" w:type="dxa"/>
              <w:bottom w:w="90" w:type="dxa"/>
              <w:end w:w="120" w:type="dxa"/>
            </w:tcMar>
            <w:shd w:fill="24445C"/>
            <w:vAlign w:val="center"/>
          </w:tcPr>
          <w:p>
            <w:pPr>
              <w:spacing w:after="0"/>
            </w:pPr>
            <w:r>
              <w:rPr>
                <w:rFonts w:ascii="Aptos" w:hAnsi="Aptos"/>
                <w:b/>
                <w:i w:val="0"/>
                <w:color w:val="FFFFFF"/>
                <w:sz w:val="18"/>
              </w:rPr>
              <w:t>Day</w:t>
            </w:r>
          </w:p>
        </w:tc>
        <w:tc>
          <w:tcPr>
            <w:tcW w:type="dxa" w:w="8460"/>
            <w:tcMar>
              <w:top w:w="90" w:type="dxa"/>
              <w:start w:w="120" w:type="dxa"/>
              <w:bottom w:w="90" w:type="dxa"/>
              <w:end w:w="120" w:type="dxa"/>
            </w:tcMar>
            <w:shd w:fill="24445C"/>
            <w:vAlign w:val="center"/>
          </w:tcPr>
          <w:p>
            <w:pPr>
              <w:spacing w:after="0"/>
            </w:pPr>
            <w:r>
              <w:rPr>
                <w:rFonts w:ascii="Aptos" w:hAnsi="Aptos"/>
                <w:b/>
                <w:i w:val="0"/>
                <w:color w:val="FFFFFF"/>
                <w:sz w:val="18"/>
              </w:rPr>
              <w:t>Ten-minute action</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8</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Find health-insurance schedules and claim contacts.</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9</w:t>
            </w:r>
          </w:p>
        </w:tc>
        <w:tc>
          <w:tcPr>
            <w:tcW w:type="dxa" w:w="8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Find life and accident-cover details.</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10</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Check nominees on one important account.</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11</w:t>
            </w:r>
          </w:p>
        </w:tc>
        <w:tc>
          <w:tcPr>
            <w:tcW w:type="dxa" w:w="8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Start the family financial folder.</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12</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Save official fraud-reporting contacts, including 1930.</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13</w:t>
            </w:r>
          </w:p>
        </w:tc>
        <w:tc>
          <w:tcPr>
            <w:tcW w:type="dxa" w:w="8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Set or review transaction alerts and limits.</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14</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Write the largest protection gap to address.</w:t>
            </w:r>
          </w:p>
        </w:tc>
      </w:tr>
    </w:tbl>
    <w:p>
      <w:pPr>
        <w:spacing w:after="20"/>
      </w:pPr>
    </w:p>
    <w:p>
      <w:pPr>
        <w:pStyle w:val="Heading2"/>
      </w:pPr>
      <w:r>
        <w:t>Week 3 — Understand what you own</w:t>
      </w:r>
    </w:p>
    <w:tbl>
      <w:tblPr>
        <w:tblStyle w:val="TableGrid"/>
        <w:tblW w:type="dxa" w:w="9360"/>
        <w:jc w:val="center"/>
        <w:tblLayout w:type="fixed"/>
        <w:tblLook w:firstColumn="1" w:firstRow="1" w:lastColumn="0" w:lastRow="0" w:noHBand="0" w:noVBand="1" w:val="04A0"/>
        <w:tblInd w:w="120" w:type="dxa"/>
      </w:tblPr>
      <w:tblGrid>
        <w:gridCol w:w="900"/>
        <w:gridCol w:w="8460"/>
      </w:tblGrid>
      <w:tr>
        <w:trPr>
          <w:tblHeader w:val="true"/>
        </w:trPr>
        <w:tc>
          <w:tcPr>
            <w:tcW w:type="dxa" w:w="900"/>
            <w:tcMar>
              <w:top w:w="90" w:type="dxa"/>
              <w:start w:w="120" w:type="dxa"/>
              <w:bottom w:w="90" w:type="dxa"/>
              <w:end w:w="120" w:type="dxa"/>
            </w:tcMar>
            <w:shd w:fill="24445C"/>
            <w:vAlign w:val="center"/>
          </w:tcPr>
          <w:p>
            <w:pPr>
              <w:spacing w:after="0"/>
            </w:pPr>
            <w:r>
              <w:rPr>
                <w:rFonts w:ascii="Aptos" w:hAnsi="Aptos"/>
                <w:b/>
                <w:i w:val="0"/>
                <w:color w:val="FFFFFF"/>
                <w:sz w:val="18"/>
              </w:rPr>
              <w:t>Day</w:t>
            </w:r>
          </w:p>
        </w:tc>
        <w:tc>
          <w:tcPr>
            <w:tcW w:type="dxa" w:w="8460"/>
            <w:tcMar>
              <w:top w:w="90" w:type="dxa"/>
              <w:start w:w="120" w:type="dxa"/>
              <w:bottom w:w="90" w:type="dxa"/>
              <w:end w:w="120" w:type="dxa"/>
            </w:tcMar>
            <w:shd w:fill="24445C"/>
            <w:vAlign w:val="center"/>
          </w:tcPr>
          <w:p>
            <w:pPr>
              <w:spacing w:after="0"/>
            </w:pPr>
            <w:r>
              <w:rPr>
                <w:rFonts w:ascii="Aptos" w:hAnsi="Aptos"/>
                <w:b/>
                <w:i w:val="0"/>
                <w:color w:val="FFFFFF"/>
                <w:sz w:val="18"/>
              </w:rPr>
              <w:t>Ten-minute action</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15</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Give every deposit or investment one named goal.</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16</w:t>
            </w:r>
          </w:p>
        </w:tc>
        <w:tc>
          <w:tcPr>
            <w:tcW w:type="dxa" w:w="8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Write when each goal needs the money.</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17</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Check lock-in and access for one product.</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18</w:t>
            </w:r>
          </w:p>
        </w:tc>
        <w:tc>
          <w:tcPr>
            <w:tcW w:type="dxa" w:w="8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Check fees and tax treatment for one product.</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19</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Check risk and potential loss for one investment.</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20</w:t>
            </w:r>
          </w:p>
        </w:tc>
        <w:tc>
          <w:tcPr>
            <w:tcW w:type="dxa" w:w="8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Verify one intermediary or adviser.</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21</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List products you do not understand before adding more.</w:t>
            </w:r>
          </w:p>
        </w:tc>
      </w:tr>
    </w:tbl>
    <w:p>
      <w:pPr>
        <w:spacing w:after="20"/>
      </w:pPr>
    </w:p>
    <w:p>
      <w:pPr>
        <w:pStyle w:val="Heading2"/>
      </w:pPr>
      <w:r>
        <w:t>Week 4 — Create a repeatable system</w:t>
      </w:r>
    </w:p>
    <w:tbl>
      <w:tblPr>
        <w:tblStyle w:val="TableGrid"/>
        <w:tblW w:type="dxa" w:w="9360"/>
        <w:jc w:val="center"/>
        <w:tblLayout w:type="fixed"/>
        <w:tblLook w:firstColumn="1" w:firstRow="1" w:lastColumn="0" w:lastRow="0" w:noHBand="0" w:noVBand="1" w:val="04A0"/>
        <w:tblInd w:w="120" w:type="dxa"/>
      </w:tblPr>
      <w:tblGrid>
        <w:gridCol w:w="900"/>
        <w:gridCol w:w="8460"/>
      </w:tblGrid>
      <w:tr>
        <w:trPr>
          <w:tblHeader w:val="true"/>
        </w:trPr>
        <w:tc>
          <w:tcPr>
            <w:tcW w:type="dxa" w:w="900"/>
            <w:tcMar>
              <w:top w:w="90" w:type="dxa"/>
              <w:start w:w="120" w:type="dxa"/>
              <w:bottom w:w="90" w:type="dxa"/>
              <w:end w:w="120" w:type="dxa"/>
            </w:tcMar>
            <w:shd w:fill="24445C"/>
            <w:vAlign w:val="center"/>
          </w:tcPr>
          <w:p>
            <w:pPr>
              <w:spacing w:after="0"/>
            </w:pPr>
            <w:r>
              <w:rPr>
                <w:rFonts w:ascii="Aptos" w:hAnsi="Aptos"/>
                <w:b/>
                <w:i w:val="0"/>
                <w:color w:val="FFFFFF"/>
                <w:sz w:val="18"/>
              </w:rPr>
              <w:t>Day</w:t>
            </w:r>
          </w:p>
        </w:tc>
        <w:tc>
          <w:tcPr>
            <w:tcW w:type="dxa" w:w="8460"/>
            <w:tcMar>
              <w:top w:w="90" w:type="dxa"/>
              <w:start w:w="120" w:type="dxa"/>
              <w:bottom w:w="90" w:type="dxa"/>
              <w:end w:w="120" w:type="dxa"/>
            </w:tcMar>
            <w:shd w:fill="24445C"/>
            <w:vAlign w:val="center"/>
          </w:tcPr>
          <w:p>
            <w:pPr>
              <w:spacing w:after="0"/>
            </w:pPr>
            <w:r>
              <w:rPr>
                <w:rFonts w:ascii="Aptos" w:hAnsi="Aptos"/>
                <w:b/>
                <w:i w:val="0"/>
                <w:color w:val="FFFFFF"/>
                <w:sz w:val="18"/>
              </w:rPr>
              <w:t>Ten-minute action</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22</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Choose a realistic monthly saving or debt-repayment habit.</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23</w:t>
            </w:r>
          </w:p>
        </w:tc>
        <w:tc>
          <w:tcPr>
            <w:tcW w:type="dxa" w:w="8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Automate or calendar one helpful action.</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24</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Create the tax-year document folders.</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25</w:t>
            </w:r>
          </w:p>
        </w:tc>
        <w:tc>
          <w:tcPr>
            <w:tcW w:type="dxa" w:w="8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Update one contact, nominee or KYC detail.</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26</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Choose your annual Family Financial Review Day.</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27</w:t>
            </w:r>
          </w:p>
        </w:tc>
        <w:tc>
          <w:tcPr>
            <w:tcW w:type="dxa" w:w="8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Ask one professional a written question.</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28</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Share the emergency folder location with a trusted adult.</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29</w:t>
            </w:r>
          </w:p>
        </w:tc>
        <w:tc>
          <w:tcPr>
            <w:tcW w:type="dxa" w:w="8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Celebrate one thing you improved.</w:t>
            </w:r>
          </w:p>
        </w:tc>
      </w:tr>
      <w:tr>
        <w:tc>
          <w:tcPr>
            <w:tcW w:type="dxa" w:w="900"/>
            <w:tcMar>
              <w:top w:w="90" w:type="dxa"/>
              <w:start w:w="120" w:type="dxa"/>
              <w:bottom w:w="90" w:type="dxa"/>
              <w:end w:w="120" w:type="dxa"/>
            </w:tcMar>
            <w:vAlign w:val="center"/>
          </w:tcPr>
          <w:p>
            <w:pPr>
              <w:spacing w:after="0" w:line="252" w:lineRule="auto"/>
            </w:pPr>
            <w:r>
              <w:rPr>
                <w:rFonts w:ascii="Aptos" w:hAnsi="Aptos"/>
                <w:b w:val="0"/>
                <w:i w:val="0"/>
                <w:color w:val="24323D"/>
                <w:sz w:val="18"/>
              </w:rPr>
              <w:t>30</w:t>
            </w:r>
          </w:p>
        </w:tc>
        <w:tc>
          <w:tcPr>
            <w:tcW w:type="dxa" w:w="8460"/>
            <w:tcMar>
              <w:top w:w="90" w:type="dxa"/>
              <w:start w:w="120" w:type="dxa"/>
              <w:bottom w:w="90" w:type="dxa"/>
              <w:end w:w="120" w:type="dxa"/>
            </w:tcMar>
            <w:vAlign w:val="center"/>
          </w:tcPr>
          <w:p>
            <w:pPr>
              <w:spacing w:after="0" w:line="252" w:lineRule="auto"/>
            </w:pPr>
            <w:r>
              <w:rPr>
                <w:rFonts w:ascii="Aptos" w:hAnsi="Aptos"/>
                <w:b w:val="0"/>
                <w:i w:val="0"/>
                <w:color w:val="24323D"/>
                <w:sz w:val="18"/>
              </w:rPr>
              <w:t>Write the next three priorities—then stop for today.</w:t>
            </w:r>
          </w:p>
        </w:tc>
      </w:tr>
    </w:tbl>
    <w:p>
      <w:pPr>
        <w:spacing w:after="20"/>
      </w:pPr>
    </w:p>
    <w:p>
      <w:pPr>
        <w:pStyle w:val="Heading1"/>
      </w:pPr>
      <w:r>
        <w:t>Three promises to yourself</w:t>
      </w:r>
    </w:p>
    <w:tbl>
      <w:tblPr>
        <w:tblStyle w:val="TableGrid"/>
        <w:tblW w:type="dxa" w:w="9360"/>
        <w:jc w:val="center"/>
        <w:tblLayout w:type="fixed"/>
        <w:tblLook w:firstColumn="1" w:firstRow="1" w:lastColumn="0" w:lastRow="0" w:noHBand="0" w:noVBand="1" w:val="04A0"/>
        <w:tblInd w:w="120" w:type="dxa"/>
      </w:tblPr>
      <w:tblGrid>
        <w:gridCol w:w="3900"/>
        <w:gridCol w:w="5460"/>
      </w:tblGrid>
      <w:tr>
        <w:trPr>
          <w:tblHeader w:val="true"/>
        </w:trPr>
        <w:tc>
          <w:tcPr>
            <w:tcW w:type="dxa" w:w="3900"/>
            <w:tcMar>
              <w:top w:w="90" w:type="dxa"/>
              <w:start w:w="120" w:type="dxa"/>
              <w:bottom w:w="90" w:type="dxa"/>
              <w:end w:w="120" w:type="dxa"/>
            </w:tcMar>
            <w:shd w:fill="24445C"/>
            <w:vAlign w:val="center"/>
          </w:tcPr>
          <w:p>
            <w:pPr>
              <w:spacing w:after="0"/>
            </w:pPr>
            <w:r>
              <w:rPr>
                <w:rFonts w:ascii="Aptos" w:hAnsi="Aptos"/>
                <w:b/>
                <w:i w:val="0"/>
                <w:color w:val="FFFFFF"/>
                <w:sz w:val="18"/>
              </w:rPr>
              <w:t>Promise</w:t>
            </w:r>
          </w:p>
        </w:tc>
        <w:tc>
          <w:tcPr>
            <w:tcW w:type="dxa" w:w="5460"/>
            <w:tcMar>
              <w:top w:w="90" w:type="dxa"/>
              <w:start w:w="120" w:type="dxa"/>
              <w:bottom w:w="90" w:type="dxa"/>
              <w:end w:w="120" w:type="dxa"/>
            </w:tcMar>
            <w:shd w:fill="24445C"/>
            <w:vAlign w:val="center"/>
          </w:tcPr>
          <w:p>
            <w:pPr>
              <w:spacing w:after="0"/>
            </w:pPr>
            <w:r>
              <w:rPr>
                <w:rFonts w:ascii="Aptos" w:hAnsi="Aptos"/>
                <w:b/>
                <w:i w:val="0"/>
                <w:color w:val="FFFFFF"/>
                <w:sz w:val="18"/>
              </w:rPr>
              <w:t>My words</w:t>
            </w:r>
          </w:p>
        </w:tc>
      </w:tr>
      <w:tr>
        <w:tc>
          <w:tcPr>
            <w:tcW w:type="dxa" w:w="3900"/>
            <w:tcMar>
              <w:top w:w="90" w:type="dxa"/>
              <w:start w:w="120" w:type="dxa"/>
              <w:bottom w:w="90" w:type="dxa"/>
              <w:end w:w="120" w:type="dxa"/>
            </w:tcMar>
            <w:vAlign w:val="center"/>
          </w:tcPr>
          <w:p>
            <w:pPr>
              <w:spacing w:after="0" w:line="252" w:lineRule="auto"/>
            </w:pPr>
            <w:r>
              <w:rPr>
                <w:rFonts w:ascii="Aptos" w:hAnsi="Aptos"/>
                <w:b w:val="0"/>
                <w:i w:val="0"/>
                <w:color w:val="24323D"/>
                <w:sz w:val="18"/>
              </w:rPr>
              <w:t>I will not make decisions under pressure.</w:t>
            </w:r>
          </w:p>
        </w:tc>
        <w:tc>
          <w:tcPr>
            <w:tcW w:type="dxa" w:w="5460"/>
            <w:tcMar>
              <w:top w:w="90" w:type="dxa"/>
              <w:start w:w="120" w:type="dxa"/>
              <w:bottom w:w="90" w:type="dxa"/>
              <w:end w:w="120" w:type="dxa"/>
            </w:tcMar>
            <w:vAlign w:val="center"/>
          </w:tcPr>
          <w:p>
            <w:pPr>
              <w:spacing w:after="0" w:line="252" w:lineRule="auto"/>
            </w:pPr>
            <w:r>
              <w:rPr>
                <w:rFonts w:ascii="Aptos" w:hAnsi="Aptos"/>
                <w:b w:val="0"/>
                <w:i w:val="0"/>
                <w:color w:val="24323D"/>
                <w:sz w:val="18"/>
              </w:rPr>
            </w:r>
          </w:p>
        </w:tc>
      </w:tr>
      <w:tr>
        <w:tc>
          <w:tcPr>
            <w:tcW w:type="dxa" w:w="390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t>I will ask until I understand.</w:t>
            </w:r>
          </w:p>
        </w:tc>
        <w:tc>
          <w:tcPr>
            <w:tcW w:type="dxa" w:w="5460"/>
            <w:tcMar>
              <w:top w:w="90" w:type="dxa"/>
              <w:start w:w="120" w:type="dxa"/>
              <w:bottom w:w="90" w:type="dxa"/>
              <w:end w:w="120" w:type="dxa"/>
            </w:tcMar>
            <w:vAlign w:val="center"/>
            <w:shd w:fill="F3F6F8"/>
          </w:tcPr>
          <w:p>
            <w:pPr>
              <w:spacing w:after="0" w:line="252" w:lineRule="auto"/>
            </w:pPr>
            <w:r>
              <w:rPr>
                <w:rFonts w:ascii="Aptos" w:hAnsi="Aptos"/>
                <w:b w:val="0"/>
                <w:i w:val="0"/>
                <w:color w:val="24323D"/>
                <w:sz w:val="18"/>
              </w:rPr>
            </w:r>
          </w:p>
        </w:tc>
      </w:tr>
      <w:tr>
        <w:tc>
          <w:tcPr>
            <w:tcW w:type="dxa" w:w="3900"/>
            <w:tcMar>
              <w:top w:w="90" w:type="dxa"/>
              <w:start w:w="120" w:type="dxa"/>
              <w:bottom w:w="90" w:type="dxa"/>
              <w:end w:w="120" w:type="dxa"/>
            </w:tcMar>
            <w:vAlign w:val="center"/>
          </w:tcPr>
          <w:p>
            <w:pPr>
              <w:spacing w:after="0" w:line="252" w:lineRule="auto"/>
            </w:pPr>
            <w:r>
              <w:rPr>
                <w:rFonts w:ascii="Aptos" w:hAnsi="Aptos"/>
                <w:b w:val="0"/>
                <w:i w:val="0"/>
                <w:color w:val="24323D"/>
                <w:sz w:val="18"/>
              </w:rPr>
              <w:t>I will review my plan when life changes.</w:t>
            </w:r>
          </w:p>
        </w:tc>
        <w:tc>
          <w:tcPr>
            <w:tcW w:type="dxa" w:w="5460"/>
            <w:tcMar>
              <w:top w:w="90" w:type="dxa"/>
              <w:start w:w="120" w:type="dxa"/>
              <w:bottom w:w="90" w:type="dxa"/>
              <w:end w:w="120" w:type="dxa"/>
            </w:tcMar>
            <w:vAlign w:val="center"/>
          </w:tcPr>
          <w:p>
            <w:pPr>
              <w:spacing w:after="0" w:line="252" w:lineRule="auto"/>
            </w:pPr>
            <w:r>
              <w:rPr>
                <w:rFonts w:ascii="Aptos" w:hAnsi="Aptos"/>
                <w:b w:val="0"/>
                <w:i w:val="0"/>
                <w:color w:val="24323D"/>
                <w:sz w:val="18"/>
              </w:rPr>
            </w:r>
          </w:p>
        </w:tc>
      </w:tr>
    </w:tbl>
    <w:p>
      <w:pPr>
        <w:spacing w:after="20"/>
      </w:pPr>
    </w:p>
    <w:p>
      <w:pPr>
        <w:pStyle w:val="Heading1"/>
      </w:pPr>
      <w:r>
        <w:t>When life changes, return to the foundation</w:t>
      </w:r>
    </w:p>
    <w:p>
      <w:pPr>
        <w:widowControl/>
      </w:pPr>
      <w:r>
        <w:rPr>
          <w:rFonts w:ascii="Aptos" w:hAnsi="Aptos"/>
          <w:b w:val="0"/>
          <w:i w:val="0"/>
          <w:color w:val="24323D"/>
          <w:sz w:val="21"/>
        </w:rPr>
        <w:t>A new baby, career break, return to work, illness, move, inheritance, divorce, loss, business or retirement can change the plan. You do not need to rebuild everything in one day. Return to five questions:</w:t>
      </w:r>
    </w:p>
    <w:p>
      <w:pPr>
        <w:pStyle w:val="ListBullet"/>
        <w:spacing w:after="60"/>
        <w:ind w:left="504" w:hanging="259"/>
      </w:pPr>
      <w:r>
        <w:rPr>
          <w:rFonts w:ascii="Aptos" w:hAnsi="Aptos"/>
          <w:b w:val="0"/>
          <w:i w:val="0"/>
          <w:color w:val="24323D"/>
          <w:sz w:val="20"/>
        </w:rPr>
        <w:t>What changed?</w:t>
      </w:r>
    </w:p>
    <w:p>
      <w:pPr>
        <w:pStyle w:val="ListBullet"/>
        <w:spacing w:after="60"/>
        <w:ind w:left="504" w:hanging="259"/>
      </w:pPr>
      <w:r>
        <w:rPr>
          <w:rFonts w:ascii="Aptos" w:hAnsi="Aptos"/>
          <w:b w:val="0"/>
          <w:i w:val="0"/>
          <w:color w:val="24323D"/>
          <w:sz w:val="20"/>
        </w:rPr>
        <w:t>What must be protected now?</w:t>
      </w:r>
    </w:p>
    <w:p>
      <w:pPr>
        <w:pStyle w:val="ListBullet"/>
        <w:spacing w:after="60"/>
        <w:ind w:left="504" w:hanging="259"/>
      </w:pPr>
      <w:r>
        <w:rPr>
          <w:rFonts w:ascii="Aptos" w:hAnsi="Aptos"/>
          <w:b w:val="0"/>
          <w:i w:val="0"/>
          <w:color w:val="24323D"/>
          <w:sz w:val="20"/>
        </w:rPr>
        <w:t>What information or document is missing?</w:t>
      </w:r>
    </w:p>
    <w:p>
      <w:pPr>
        <w:pStyle w:val="ListBullet"/>
        <w:spacing w:after="60"/>
        <w:ind w:left="504" w:hanging="259"/>
      </w:pPr>
      <w:r>
        <w:rPr>
          <w:rFonts w:ascii="Aptos" w:hAnsi="Aptos"/>
          <w:b w:val="0"/>
          <w:i w:val="0"/>
          <w:color w:val="24323D"/>
          <w:sz w:val="20"/>
        </w:rPr>
        <w:t>Which goal or product needs review?</w:t>
      </w:r>
    </w:p>
    <w:p>
      <w:pPr>
        <w:pStyle w:val="ListBullet"/>
        <w:spacing w:after="60"/>
        <w:ind w:left="504" w:hanging="259"/>
      </w:pPr>
      <w:r>
        <w:rPr>
          <w:rFonts w:ascii="Aptos" w:hAnsi="Aptos"/>
          <w:b w:val="0"/>
          <w:i w:val="0"/>
          <w:color w:val="24323D"/>
          <w:sz w:val="20"/>
        </w:rPr>
        <w:t>What is the smallest useful next action?</w:t>
      </w:r>
    </w:p>
    <w:p>
      <w:pPr>
        <w:pStyle w:val="Heading1"/>
      </w:pPr>
      <w:r>
        <w:t>A final letter from Mom’s Village</w:t>
      </w:r>
    </w:p>
    <w:p>
      <w:pPr>
        <w:widowControl/>
      </w:pPr>
      <w:r>
        <w:rPr>
          <w:rFonts w:ascii="Aptos" w:hAnsi="Aptos"/>
          <w:b w:val="0"/>
          <w:i w:val="0"/>
          <w:color w:val="24323D"/>
          <w:sz w:val="21"/>
        </w:rPr>
        <w:t>Dear Mom,</w:t>
      </w:r>
    </w:p>
    <w:p>
      <w:pPr>
        <w:widowControl/>
      </w:pPr>
      <w:r>
        <w:rPr>
          <w:rFonts w:ascii="Aptos" w:hAnsi="Aptos"/>
          <w:b w:val="0"/>
          <w:i w:val="0"/>
          <w:color w:val="24323D"/>
          <w:sz w:val="21"/>
        </w:rPr>
        <w:t>If you are closing this book with a list of things still unfinished, please do not mistake that list for failure.</w:t>
      </w:r>
    </w:p>
    <w:p>
      <w:pPr>
        <w:widowControl/>
      </w:pPr>
      <w:r>
        <w:rPr>
          <w:rFonts w:ascii="Aptos" w:hAnsi="Aptos"/>
          <w:b w:val="0"/>
          <w:i w:val="0"/>
          <w:color w:val="24323D"/>
          <w:sz w:val="21"/>
        </w:rPr>
        <w:t>You were not supposed to repair your entire financial life while reading a companion. You were supposed to become less afraid of opening the folder, asking the question, reading the document and beginning the conversation.</w:t>
      </w:r>
    </w:p>
    <w:p>
      <w:pPr>
        <w:widowControl/>
      </w:pPr>
      <w:r>
        <w:rPr>
          <w:rFonts w:ascii="Aptos" w:hAnsi="Aptos"/>
          <w:b w:val="0"/>
          <w:i w:val="0"/>
          <w:color w:val="24323D"/>
          <w:sz w:val="21"/>
        </w:rPr>
        <w:t>Perhaps your first step is ₹500 in an emergency account. Perhaps it is learning what your family already owns. Perhaps it is returning to work one day, or deciding that you do not want to—and still knowing that the choice is yours.</w:t>
      </w:r>
    </w:p>
    <w:p>
      <w:pPr>
        <w:widowControl/>
      </w:pPr>
      <w:r>
        <w:rPr>
          <w:rFonts w:ascii="Aptos" w:hAnsi="Aptos"/>
          <w:b w:val="0"/>
          <w:i w:val="0"/>
          <w:color w:val="24323D"/>
          <w:sz w:val="21"/>
        </w:rPr>
        <w:t>Confidence does not mean life will never surprise you. It means a surprise will not erase everything you know about yourself.</w:t>
      </w:r>
    </w:p>
    <w:p>
      <w:pPr>
        <w:widowControl/>
      </w:pPr>
      <w:r>
        <w:rPr>
          <w:rFonts w:ascii="Aptos" w:hAnsi="Aptos"/>
          <w:b w:val="0"/>
          <w:i w:val="0"/>
          <w:color w:val="24323D"/>
          <w:sz w:val="21"/>
        </w:rPr>
        <w:t>You are capable of learning. You are allowed to ask. You are allowed to pause. You are allowed to prepare for your own future while caring deeply for everyone else’s.</w:t>
      </w:r>
    </w:p>
    <w:p>
      <w:pPr>
        <w:widowControl/>
      </w:pPr>
      <w:r>
        <w:rPr>
          <w:rFonts w:ascii="Aptos" w:hAnsi="Aptos"/>
          <w:b w:val="0"/>
          <w:i w:val="0"/>
          <w:color w:val="24323D"/>
          <w:sz w:val="21"/>
        </w:rPr>
        <w:t>Keep this companion near the family’s important documents. Return when life changes. Cross things out. Add new questions. Let the plan grow with you.</w:t>
      </w:r>
    </w:p>
    <w:p>
      <w:pPr>
        <w:widowControl/>
      </w:pPr>
      <w:r>
        <w:rPr>
          <w:rFonts w:ascii="Aptos" w:hAnsi="Aptos"/>
          <w:b w:val="0"/>
          <w:i w:val="0"/>
          <w:color w:val="24323D"/>
          <w:sz w:val="21"/>
        </w:rPr>
        <w:t>And if you forget where to begin, begin here: look calmly, understand one thing and take one small step.</w:t>
      </w:r>
    </w:p>
    <w:p>
      <w:pPr>
        <w:widowControl/>
      </w:pPr>
      <w:r>
        <w:rPr>
          <w:rFonts w:ascii="Aptos" w:hAnsi="Aptos"/>
          <w:b w:val="0"/>
          <w:i w:val="0"/>
          <w:color w:val="24323D"/>
          <w:sz w:val="21"/>
        </w:rPr>
        <w:t>With love,</w:t>
      </w:r>
    </w:p>
    <w:p>
      <w:r>
        <w:rPr>
          <w:rFonts w:ascii="Aptos" w:hAnsi="Aptos"/>
          <w:b/>
          <w:i w:val="0"/>
          <w:color w:val="24445C"/>
          <w:sz w:val="24"/>
        </w:rPr>
        <w:t>Mom's Village</w:t>
      </w:r>
    </w:p>
    <w:p>
      <w:pPr>
        <w:pStyle w:val="Heading1"/>
      </w:pPr>
      <w:r>
        <w:t>My next three steps</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p>
      <w:pPr>
        <w:spacing w:after="160" w:line="240" w:lineRule="auto"/>
      </w:pPr>
      <w:r>
        <w:rPr>
          <w:rFonts w:ascii="Aptos" w:hAnsi="Aptos"/>
          <w:b w:val="0"/>
          <w:i w:val="0"/>
          <w:color w:val="B5BEC4"/>
          <w:sz w:val="18"/>
        </w:rPr>
        <w:t>________________________________________________________________________________</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REMEMBER THIS</w:t>
            </w:r>
          </w:p>
          <w:p>
            <w:pPr>
              <w:spacing w:after="0"/>
            </w:pPr>
            <w:r>
              <w:rPr>
                <w:rFonts w:ascii="Aptos" w:hAnsi="Aptos"/>
                <w:b w:val="0"/>
                <w:i w:val="0"/>
                <w:color w:val="24323D"/>
                <w:sz w:val="20"/>
              </w:rPr>
              <w:t>Financial confidence is not a finish line. It is the quiet knowledge that you can find the facts, ask for help and make the next thoughtful decision.</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TRY THIS TODAY</w:t>
            </w:r>
          </w:p>
          <w:p>
            <w:pPr>
              <w:spacing w:after="0"/>
            </w:pPr>
            <w:r>
              <w:rPr>
                <w:rFonts w:ascii="Aptos" w:hAnsi="Aptos"/>
                <w:b w:val="0"/>
                <w:i w:val="0"/>
                <w:color w:val="24323D"/>
                <w:sz w:val="20"/>
              </w:rPr>
              <w:t>Close the book after choosing only one action for tomorrow. You have already begun.</w:t>
            </w:r>
          </w:p>
        </w:tc>
      </w:tr>
    </w:tbl>
    <w:p>
      <w:pPr>
        <w:spacing w:after="20"/>
      </w:pPr>
    </w:p>
    <w:p>
      <w:r>
        <w:br w:type="page"/>
      </w:r>
    </w:p>
    <w:p>
      <w:r>
        <w:br w:type="page"/>
      </w:r>
    </w:p>
    <w:p>
      <w:pPr>
        <w:pStyle w:val="Title"/>
      </w:pPr>
      <w:r>
        <w:t>Official Sources and Final Verification</w:t>
      </w:r>
    </w:p>
    <w:p>
      <w:pPr>
        <w:widowControl/>
      </w:pPr>
      <w:r>
        <w:rPr>
          <w:rFonts w:ascii="Aptos" w:hAnsi="Aptos"/>
          <w:b w:val="0"/>
          <w:i w:val="0"/>
          <w:color w:val="24323D"/>
          <w:sz w:val="21"/>
        </w:rPr>
        <w:t>The complete manuscript draws on official Indian sources for financial education, product rules, taxation, protection, complaints and fraud reporting. Primary ecosystems checked include:</w:t>
      </w:r>
    </w:p>
    <w:p>
      <w:pPr>
        <w:pStyle w:val="ListBullet"/>
        <w:spacing w:after="60"/>
        <w:ind w:left="504" w:hanging="259"/>
      </w:pPr>
      <w:r>
        <w:rPr>
          <w:rFonts w:ascii="Aptos" w:hAnsi="Aptos"/>
          <w:b w:val="0"/>
          <w:i w:val="0"/>
          <w:color w:val="24323D"/>
          <w:sz w:val="20"/>
        </w:rPr>
        <w:t>Reserve Bank of India and DICGC</w:t>
      </w:r>
    </w:p>
    <w:p>
      <w:pPr>
        <w:pStyle w:val="ListBullet"/>
        <w:spacing w:after="60"/>
        <w:ind w:left="504" w:hanging="259"/>
      </w:pPr>
      <w:r>
        <w:rPr>
          <w:rFonts w:ascii="Aptos" w:hAnsi="Aptos"/>
          <w:b w:val="0"/>
          <w:i w:val="0"/>
          <w:color w:val="24323D"/>
          <w:sz w:val="20"/>
        </w:rPr>
        <w:t>SEBI Investor and SCORES</w:t>
      </w:r>
    </w:p>
    <w:p>
      <w:pPr>
        <w:pStyle w:val="ListBullet"/>
        <w:spacing w:after="60"/>
        <w:ind w:left="504" w:hanging="259"/>
      </w:pPr>
      <w:r>
        <w:rPr>
          <w:rFonts w:ascii="Aptos" w:hAnsi="Aptos"/>
          <w:b w:val="0"/>
          <w:i w:val="0"/>
          <w:color w:val="24323D"/>
          <w:sz w:val="20"/>
        </w:rPr>
        <w:t>IRDAI and Bima Bharosa</w:t>
      </w:r>
    </w:p>
    <w:p>
      <w:pPr>
        <w:pStyle w:val="ListBullet"/>
        <w:spacing w:after="60"/>
        <w:ind w:left="504" w:hanging="259"/>
      </w:pPr>
      <w:r>
        <w:rPr>
          <w:rFonts w:ascii="Aptos" w:hAnsi="Aptos"/>
          <w:b w:val="0"/>
          <w:i w:val="0"/>
          <w:color w:val="24323D"/>
          <w:sz w:val="20"/>
        </w:rPr>
        <w:t>PFRDA and NPS Trust resources</w:t>
      </w:r>
    </w:p>
    <w:p>
      <w:pPr>
        <w:pStyle w:val="ListBullet"/>
        <w:spacing w:after="60"/>
        <w:ind w:left="504" w:hanging="259"/>
      </w:pPr>
      <w:r>
        <w:rPr>
          <w:rFonts w:ascii="Aptos" w:hAnsi="Aptos"/>
          <w:b w:val="0"/>
          <w:i w:val="0"/>
          <w:color w:val="24323D"/>
          <w:sz w:val="20"/>
        </w:rPr>
        <w:t>Employees’ Provident Fund Organisation</w:t>
      </w:r>
    </w:p>
    <w:p>
      <w:pPr>
        <w:pStyle w:val="ListBullet"/>
        <w:spacing w:after="60"/>
        <w:ind w:left="504" w:hanging="259"/>
      </w:pPr>
      <w:r>
        <w:rPr>
          <w:rFonts w:ascii="Aptos" w:hAnsi="Aptos"/>
          <w:b w:val="0"/>
          <w:i w:val="0"/>
          <w:color w:val="24323D"/>
          <w:sz w:val="20"/>
        </w:rPr>
        <w:t>Income Tax Department</w:t>
      </w:r>
    </w:p>
    <w:p>
      <w:pPr>
        <w:pStyle w:val="ListBullet"/>
        <w:spacing w:after="60"/>
        <w:ind w:left="504" w:hanging="259"/>
      </w:pPr>
      <w:r>
        <w:rPr>
          <w:rFonts w:ascii="Aptos" w:hAnsi="Aptos"/>
          <w:b w:val="0"/>
          <w:i w:val="0"/>
          <w:color w:val="24323D"/>
          <w:sz w:val="20"/>
        </w:rPr>
        <w:t>National Savings Institute and India Post</w:t>
      </w:r>
    </w:p>
    <w:p>
      <w:pPr>
        <w:pStyle w:val="ListBullet"/>
        <w:spacing w:after="60"/>
        <w:ind w:left="504" w:hanging="259"/>
      </w:pPr>
      <w:r>
        <w:rPr>
          <w:rFonts w:ascii="Aptos" w:hAnsi="Aptos"/>
          <w:b w:val="0"/>
          <w:i w:val="0"/>
          <w:color w:val="24323D"/>
          <w:sz w:val="20"/>
        </w:rPr>
        <w:t>Jan Suraksha scheme documents</w:t>
      </w:r>
    </w:p>
    <w:p>
      <w:pPr>
        <w:pStyle w:val="ListBullet"/>
        <w:spacing w:after="60"/>
        <w:ind w:left="504" w:hanging="259"/>
      </w:pPr>
      <w:r>
        <w:rPr>
          <w:rFonts w:ascii="Aptos" w:hAnsi="Aptos"/>
          <w:b w:val="0"/>
          <w:i w:val="0"/>
          <w:color w:val="24323D"/>
          <w:sz w:val="20"/>
        </w:rPr>
        <w:t>National Cyber Crime Reporting Portal and helpline 1930</w:t>
      </w:r>
    </w:p>
    <w:p>
      <w:pPr>
        <w:pStyle w:val="ListBullet"/>
        <w:spacing w:after="60"/>
        <w:ind w:left="504" w:hanging="259"/>
      </w:pPr>
      <w:r>
        <w:rPr>
          <w:rFonts w:ascii="Aptos" w:hAnsi="Aptos"/>
          <w:b w:val="0"/>
          <w:i w:val="0"/>
          <w:color w:val="24323D"/>
          <w:sz w:val="20"/>
        </w:rPr>
        <w:t>Association of Mutual Funds in India for industry information</w:t>
      </w:r>
    </w:p>
    <w:tbl>
      <w:tblPr>
        <w:tblW w:type="auto" w:w="0"/>
        <w:jc w:val="center"/>
        <w:tblLayout w:type="fixed"/>
        <w:tblLook w:firstColumn="1" w:firstRow="1" w:lastColumn="0" w:lastRow="0" w:noHBand="0" w:noVBand="1" w:val="04A0"/>
      </w:tblPr>
      <w:tblGrid>
        <w:gridCol w:w="9648"/>
      </w:tblGrid>
      <w:tr>
        <w:tc>
          <w:tcPr>
            <w:tcW w:type="dxa" w:w="9360"/>
            <w:tcMar>
              <w:top w:w="150" w:type="dxa"/>
              <w:start w:w="180" w:type="dxa"/>
              <w:bottom w:w="150" w:type="dxa"/>
              <w:end w:w="180" w:type="dxa"/>
            </w:tcMar>
            <w:shd w:fill="EAF3F2"/>
          </w:tcPr>
          <w:p>
            <w:pPr>
              <w:spacing w:after="80"/>
            </w:pPr>
            <w:r>
              <w:rPr>
                <w:rFonts w:ascii="Aptos" w:hAnsi="Aptos"/>
                <w:b/>
                <w:i w:val="0"/>
                <w:color w:val="3E8C84"/>
                <w:sz w:val="18"/>
              </w:rPr>
              <w:t>MANDATORY PRE-PUBLICATION REVIEW</w:t>
            </w:r>
          </w:p>
          <w:p>
            <w:pPr>
              <w:spacing w:after="0"/>
            </w:pPr>
            <w:r>
              <w:rPr>
                <w:rFonts w:ascii="Aptos" w:hAnsi="Aptos"/>
                <w:b w:val="0"/>
                <w:i w:val="0"/>
                <w:color w:val="24323D"/>
                <w:sz w:val="20"/>
              </w:rPr>
              <w:t>Before printing or public release, recheck every rate, limit, tax provision, eligibility rule, product description, portal and helpline. Obtain reviews from a qualified Indian tax professional, a SEBI-registered investment adviser, an insurance specialist and legal counsel within their respective areas.</w:t>
            </w:r>
          </w:p>
        </w:tc>
      </w:tr>
    </w:tbl>
    <w:p>
      <w:pPr>
        <w:spacing w:after="20"/>
      </w:pPr>
    </w:p>
    <w:p>
      <w:pPr>
        <w:pStyle w:val="MVSource"/>
        <w:widowControl/>
        <w:jc w:val="center"/>
      </w:pPr>
      <w:r>
        <w:rPr>
          <w:rFonts w:ascii="Aptos" w:hAnsi="Aptos"/>
          <w:b w:val="0"/>
          <w:i w:val="0"/>
          <w:color w:val="24323D"/>
          <w:sz w:val="21"/>
        </w:rPr>
        <w:t>End of manuscript</w:t>
      </w:r>
    </w:p>
    <w:sectPr w:rsidR="00FC693F" w:rsidRPr="0006063C" w:rsidSect="00034616">
      <w:headerReference w:type="default" r:id="rId9"/>
      <w:footerReference w:type="default" r:id="rId10"/>
      <w:pgSz w:w="12240" w:h="15840"/>
      <w:pgMar w:top="1224" w:right="1296" w:bottom="1224" w:left="1296"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3717B"/>
        <w:sz w:val="16"/>
      </w:rPr>
      <w:t>MOM'S VILLAGE  |  MONEY, UNDERSTOOD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24445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2E6F8E"/>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3E8C8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24445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w:hAnsi="Aptos"/>
      <w:b w:val="0"/>
      <w:i/>
      <w:iCs/>
      <w:color w:val="63717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VKicker">
    <w:name w:val="MV Kicker"/>
    <w:pPr>
      <w:spacing w:after="100"/>
    </w:pPr>
    <w:rPr>
      <w:rFonts w:ascii="Aptos" w:hAnsi="Aptos"/>
      <w:b/>
      <w:color w:val="3E8C84"/>
      <w:sz w:val="18"/>
    </w:rPr>
  </w:style>
  <w:style w:type="paragraph" w:customStyle="1" w:styleId="MVQuote">
    <w:name w:val="MV Quote"/>
    <w:pPr>
      <w:spacing w:after="240"/>
      <w:ind w:left="360"/>
    </w:pPr>
    <w:rPr>
      <w:rFonts w:ascii="Aptos" w:hAnsi="Aptos"/>
      <w:i/>
      <w:color w:val="24445C"/>
      <w:sz w:val="24"/>
    </w:rPr>
  </w:style>
  <w:style w:type="paragraph" w:customStyle="1" w:styleId="MVSource">
    <w:name w:val="MV Source"/>
    <w:pPr>
      <w:spacing w:before="60" w:after="160"/>
    </w:pPr>
    <w:rPr>
      <w:rFonts w:ascii="Aptos" w:hAnsi="Aptos"/>
      <w:color w:val="63717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cov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Financial Confidence Companion — Complete Manuscript</dc:title>
  <dc:subject>A practical financial handbook for Indian mothers</dc:subject>
  <dc:creator>Mom's Village</dc:creator>
  <cp:keywords/>
  <dc:description>generated by python-docx</dc:description>
  <cp:lastModifiedBy/>
  <cp:revision>1</cp:revision>
  <dcterms:created xsi:type="dcterms:W3CDTF">2013-12-23T23:15:00Z</dcterms:created>
  <dcterms:modified xsi:type="dcterms:W3CDTF">2013-12-23T23:15:00Z</dcterms:modified>
  <cp:category/>
</cp:coreProperties>
</file>