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0B8C4" w14:textId="77777777" w:rsidR="00951C3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7407A0">
        <w:rPr>
          <w:rFonts w:ascii="Helvetica" w:eastAsia="Helvetica" w:hAnsi="Helvetica" w:cs="Helvetica"/>
          <w:b/>
          <w:bCs/>
          <w:color w:val="000000"/>
        </w:rPr>
        <w:t>Table 1.</w:t>
      </w:r>
      <w:r>
        <w:rPr>
          <w:rFonts w:ascii="Helvetica" w:eastAsia="Helvetica" w:hAnsi="Helvetica" w:cs="Helvetica"/>
          <w:color w:val="000000"/>
        </w:rPr>
        <w:t xml:space="preserve"> Annual net ecosystem exchange (NEE), annual net ecosystem carbon balance (NECB), and seasonal cumulative NEE (g C m⁻²) of the low-density (LD) and moderate-density (MD) orchards in 2024 and 2025. Seasonal differences were evaluated using paired t-tests restricted to dates with concurrent daily observations. Annual NEE and NECB are single orchard-level cumulative estimates and were not statistically tested. Negative NEE and NECB values indicate net carbon retention. Negative MD − LD values indicate greater uptake or lower carbon release by MD. NGS-1 is January through the day before budburst; NGS-2 is November through December.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53"/>
        <w:gridCol w:w="3491"/>
        <w:gridCol w:w="876"/>
        <w:gridCol w:w="876"/>
        <w:gridCol w:w="1485"/>
        <w:gridCol w:w="1391"/>
      </w:tblGrid>
      <w:tr w:rsidR="00951C32" w14:paraId="248C9032" w14:textId="77777777" w:rsidTr="007407A0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D274C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95E43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Period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E70A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9350A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48245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MD - 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66F66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951C32" w14:paraId="3BD59C33" w14:textId="77777777" w:rsidTr="007407A0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666666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9678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D5E4C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683F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FC2C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022B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111D2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951C32" w14:paraId="41F0E047" w14:textId="77777777" w:rsidTr="007407A0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6347C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8385D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NECB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0DEC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DCACE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A4A42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7E65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951C32" w14:paraId="020A24E9" w14:textId="77777777" w:rsidTr="007407A0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8D9BC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E840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NGS-1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BA8C2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D538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1AEC5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84ED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0.673</w:t>
            </w:r>
          </w:p>
        </w:tc>
      </w:tr>
      <w:tr w:rsidR="00951C32" w14:paraId="456DAF7B" w14:textId="77777777" w:rsidTr="007407A0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6A395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E7A06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C226D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19F2B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3F9EE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7F9FA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</w:tr>
      <w:tr w:rsidR="00951C32" w14:paraId="759703EB" w14:textId="77777777" w:rsidTr="007407A0">
        <w:trPr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1DC59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13EE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NGS-2 NEE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63E1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A773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B23B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657E7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0.024</w:t>
            </w:r>
          </w:p>
        </w:tc>
      </w:tr>
      <w:tr w:rsidR="00951C32" w14:paraId="02FED68D" w14:textId="77777777" w:rsidTr="007407A0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E47C1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9AD8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NEE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8213E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-312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01A05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-485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30B22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-173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DE9D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951C32" w14:paraId="759C820D" w14:textId="77777777">
        <w:trPr>
          <w:jc w:val="center"/>
        </w:trPr>
        <w:tc>
          <w:tcPr>
            <w:tcW w:w="0" w:type="auto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98477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B8747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Annual NECB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16230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B4DC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74BA4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A5C0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951C32" w14:paraId="690597C9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61B9F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E4FA6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NGS-1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23F37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FE564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000F2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3908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951C32" w14:paraId="0268BE24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CD67C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0C12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Growing-season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CAC8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435FF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83B39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CD67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951C32" w14:paraId="0CBA1E54" w14:textId="77777777">
        <w:trPr>
          <w:jc w:val="center"/>
        </w:trPr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316C4" w14:textId="77777777" w:rsidR="00951C32" w:rsidRDefault="00951C3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D0CB6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NGS-2 NEE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D72BB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74B9B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6F78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D39AA" w14:textId="77777777" w:rsidR="00951C3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5B2A41BF" w14:textId="77777777" w:rsidR="00951C32" w:rsidRDefault="00951C32">
      <w:pPr>
        <w:sectPr w:rsidR="00951C32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14:paraId="7F29364B" w14:textId="77777777" w:rsidR="00FE238D" w:rsidRDefault="00FE238D"/>
    <w:sectPr w:rsidR="00FE238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7953262">
    <w:abstractNumId w:val="1"/>
  </w:num>
  <w:num w:numId="2" w16cid:durableId="722948903">
    <w:abstractNumId w:val="2"/>
  </w:num>
  <w:num w:numId="3" w16cid:durableId="15774733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C32"/>
    <w:rsid w:val="003A5B10"/>
    <w:rsid w:val="007407A0"/>
    <w:rsid w:val="00951C32"/>
    <w:rsid w:val="00FE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BBBD9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849</Characters>
  <Application>Microsoft Office Word</Application>
  <DocSecurity>0</DocSecurity>
  <Lines>22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10</cp:revision>
  <dcterms:created xsi:type="dcterms:W3CDTF">2017-02-28T11:18:00Z</dcterms:created>
  <dcterms:modified xsi:type="dcterms:W3CDTF">2026-07-31T22:48:00Z</dcterms:modified>
  <cp:category/>
</cp:coreProperties>
</file>