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caps/>
          <w:color w:val="595959"/>
          <w:sz w:val="22"/>
          <w:szCs w:val="22"/>
        </w:rPr>
        <w:t xml:space="preserve">DBMS Project Proposal</w:t>
      </w:r>
    </w:p>
    <w:p>
      <w:pPr>
        <w:spacing w:after="80"/>
        <w:jc w:val="center"/>
      </w:pPr>
      <w:r>
        <w:rPr>
          <w:b/>
          <w:bCs/>
          <w:color w:val="1F4E79"/>
          <w:sz w:val="48"/>
          <w:szCs w:val="48"/>
        </w:rPr>
        <w:t xml:space="preserve">UPIShield</w:t>
      </w:r>
    </w:p>
    <w:p>
      <w:pPr>
        <w:pBdr>
          <w:bottom w:val="single" w:color="1F4E79" w:sz="8" w:space="8"/>
        </w:pBdr>
        <w:spacing w:after="240"/>
        <w:jc w:val="center"/>
      </w:pPr>
      <w:r>
        <w:rPr>
          <w:color w:val="404040"/>
          <w:sz w:val="26"/>
          <w:szCs w:val="26"/>
        </w:rPr>
        <w:t xml:space="preserve">A Database System for UPI Payments and Fraud Monitoring</w:t>
      </w:r>
    </w:p>
    <w:p>
      <w:pPr>
        <w:pStyle w:val="Heading1"/>
        <w:spacing w:after="160" w:before="360"/>
      </w:pPr>
      <w:r>
        <w:t xml:space="preserve">1. Project Title</w:t>
      </w:r>
    </w:p>
    <w:p>
      <w:pPr>
        <w:spacing w:after="120" w:line="276"/>
      </w:pPr>
      <w:r>
        <w:rPr>
          <w:b/>
          <w:bCs/>
        </w:rPr>
        <w:t xml:space="preserve">UPIShield: A Database System for UPI Payments and Fraud Monitoring</w:t>
      </w:r>
    </w:p>
    <w:p>
      <w:pPr>
        <w:pStyle w:val="Heading1"/>
        <w:spacing w:after="160" w:before="360"/>
      </w:pPr>
      <w:r>
        <w:t xml:space="preserve">2. Abstract</w:t>
      </w:r>
    </w:p>
    <w:p>
      <w:pPr>
        <w:spacing w:after="120" w:line="276"/>
      </w:pPr>
      <w:r>
        <w:t xml:space="preserve">Unified Payments Interface (UPI) has become India’s dominant digital payment system, processing billions of transactions every month. That volume makes UPI an attractive target for fraud. UPIShield is a relational database system that models the UPI payment ecosystem and adds a rule-based fraud-monitoring layer on top of it.</w:t>
      </w:r>
    </w:p>
    <w:p>
      <w:pPr>
        <w:spacing w:after="120" w:line="276"/>
      </w:pPr>
      <w:r>
        <w:t xml:space="preserve">The system records the core parts of a UPI payment network: customers, banks, bank accounts, UPI IDs (VPAs), merchants and devices. It also covers payments between individuals and payments to merchants. Database triggers enforce transaction rules such as daily payment limits. Each payment is checked against predefined fraud rules, such as unusually frequent payments in a short time, and suspicious payments are flagged automatically. Customers can raise disputes against individual transactions.</w:t>
      </w:r>
    </w:p>
    <w:p>
      <w:pPr>
        <w:spacing w:after="120" w:line="276"/>
      </w:pPr>
      <w:r>
        <w:t xml:space="preserve">The design follows a complete database development process:</w:t>
      </w:r>
    </w:p>
    <w:p>
      <w:pPr>
        <w:pStyle w:val="ListParagraph"/>
        <w:numPr>
          <w:ilvl w:val="0"/>
          <w:numId w:val="2"/>
        </w:numPr>
        <w:spacing w:after="80" w:line="276"/>
      </w:pPr>
      <w:r>
        <w:t xml:space="preserve">an Entity-Relationship model that includes generalization/specialization, weak entities and recursive relationships;</w:t>
      </w:r>
    </w:p>
    <w:p>
      <w:pPr>
        <w:pStyle w:val="ListParagraph"/>
        <w:numPr>
          <w:ilvl w:val="0"/>
          <w:numId w:val="2"/>
        </w:numPr>
        <w:spacing w:after="80" w:line="276"/>
      </w:pPr>
      <w:r>
        <w:t xml:space="preserve">conversion to a relational schema with full integrity constraints;</w:t>
      </w:r>
    </w:p>
    <w:p>
      <w:pPr>
        <w:pStyle w:val="ListParagraph"/>
        <w:numPr>
          <w:ilvl w:val="0"/>
          <w:numId w:val="2"/>
        </w:numPr>
        <w:spacing w:after="80" w:line="276"/>
      </w:pPr>
      <w:r>
        <w:t xml:space="preserve">normalization up to 3NF, with a BCNF check;</w:t>
      </w:r>
    </w:p>
    <w:p>
      <w:pPr>
        <w:pStyle w:val="ListParagraph"/>
        <w:numPr>
          <w:ilvl w:val="0"/>
          <w:numId w:val="2"/>
        </w:numPr>
        <w:spacing w:after="80" w:line="276"/>
      </w:pPr>
      <w:r>
        <w:t xml:space="preserve">implementation in MySQL.</w:t>
      </w:r>
    </w:p>
    <w:p>
      <w:pPr>
        <w:spacing w:after="120" w:before="120" w:line="276"/>
      </w:pPr>
      <w:r>
        <w:t xml:space="preserve">The project demonstrates ACID-compliant money transfers, concurrency control to prevent double-spending, role-based access control, audit trails, data encryption, statistical views and stored procedures.</w:t>
      </w:r>
    </w:p>
    <w:p>
      <w:pPr>
        <w:pStyle w:val="Heading1"/>
        <w:spacing w:after="160" w:before="360"/>
      </w:pPr>
      <w:r>
        <w:t xml:space="preserve">3. Scope</w:t>
      </w:r>
    </w:p>
    <w:p>
      <w:pPr>
        <w:pStyle w:val="Heading2"/>
        <w:spacing w:after="120" w:before="240"/>
      </w:pPr>
      <w:r>
        <w:t xml:space="preserve">In scope</w:t>
      </w:r>
    </w:p>
    <w:p>
      <w:pPr>
        <w:pStyle w:val="ListParagraph"/>
        <w:numPr>
          <w:ilvl w:val="0"/>
          <w:numId w:val="2"/>
        </w:numPr>
        <w:spacing w:after="80" w:line="276"/>
      </w:pPr>
      <w:r>
        <w:rPr>
          <w:b/>
          <w:bCs/>
        </w:rPr>
        <w:t xml:space="preserve">Customer and account management: </w:t>
      </w:r>
      <w:r>
        <w:t xml:space="preserve">customers, banks, bank accounts (Savings and Current), UPI IDs, and customer referrals.</w:t>
      </w:r>
    </w:p>
    <w:p>
      <w:pPr>
        <w:pStyle w:val="ListParagraph"/>
        <w:numPr>
          <w:ilvl w:val="0"/>
          <w:numId w:val="2"/>
        </w:numPr>
        <w:spacing w:after="80" w:line="276"/>
      </w:pPr>
      <w:r>
        <w:rPr>
          <w:b/>
          <w:bCs/>
        </w:rPr>
        <w:t xml:space="preserve">Payments: </w:t>
      </w:r>
      <w:r>
        <w:t xml:space="preserve">payments to individuals and to merchants, recorded with a status (success, failed or pending) and processed as atomic transactions.</w:t>
      </w:r>
    </w:p>
    <w:p>
      <w:pPr>
        <w:pStyle w:val="ListParagraph"/>
        <w:numPr>
          <w:ilvl w:val="0"/>
          <w:numId w:val="2"/>
        </w:numPr>
        <w:spacing w:after="80" w:line="276"/>
      </w:pPr>
      <w:r>
        <w:rPr>
          <w:b/>
          <w:bCs/>
        </w:rPr>
        <w:t xml:space="preserve">Merchant management: </w:t>
      </w:r>
      <w:r>
        <w:t xml:space="preserve">Small and Enterprise merchants with different limits, plus batch settlement of merchant payments.</w:t>
      </w:r>
    </w:p>
    <w:p>
      <w:pPr>
        <w:pStyle w:val="ListParagraph"/>
        <w:numPr>
          <w:ilvl w:val="0"/>
          <w:numId w:val="2"/>
        </w:numPr>
        <w:spacing w:after="80" w:line="276"/>
      </w:pPr>
      <w:r>
        <w:rPr>
          <w:b/>
          <w:bCs/>
        </w:rPr>
        <w:t xml:space="preserve">Fraud monitoring: </w:t>
      </w:r>
      <w:r>
        <w:t xml:space="preserve">configurable fraud rules, automatic alerts generated by triggers, and customer disputes.</w:t>
      </w:r>
    </w:p>
    <w:p>
      <w:pPr>
        <w:pStyle w:val="ListParagraph"/>
        <w:keepNext/>
        <w:numPr>
          <w:ilvl w:val="0"/>
          <w:numId w:val="2"/>
        </w:numPr>
        <w:spacing w:after="80" w:line="276"/>
      </w:pPr>
      <w:r>
        <w:rPr>
          <w:b/>
          <w:bCs/>
        </w:rPr>
        <w:t xml:space="preserve">Security:</w:t>
      </w:r>
    </w:p>
    <w:p>
      <w:pPr>
        <w:pStyle w:val="ListParagraph"/>
        <w:numPr>
          <w:ilvl w:val="1"/>
          <w:numId w:val="2"/>
        </w:numPr>
        <w:spacing w:after="80" w:line="276"/>
      </w:pPr>
      <w:r>
        <w:t xml:space="preserve">separate roles for support staff, fraud analysts, auditors and administrators;</w:t>
      </w:r>
    </w:p>
    <w:p>
      <w:pPr>
        <w:pStyle w:val="ListParagraph"/>
        <w:numPr>
          <w:ilvl w:val="1"/>
          <w:numId w:val="2"/>
        </w:numPr>
        <w:spacing w:after="80" w:line="276"/>
      </w:pPr>
      <w:r>
        <w:t xml:space="preserve">account numbers stored encrypted;</w:t>
      </w:r>
    </w:p>
    <w:p>
      <w:pPr>
        <w:pStyle w:val="ListParagraph"/>
        <w:numPr>
          <w:ilvl w:val="1"/>
          <w:numId w:val="2"/>
        </w:numPr>
        <w:spacing w:after="80" w:line="276"/>
      </w:pPr>
      <w:r>
        <w:t xml:space="preserve">audit logs of every balance change;</w:t>
      </w:r>
    </w:p>
    <w:p>
      <w:pPr>
        <w:pStyle w:val="ListParagraph"/>
        <w:numPr>
          <w:ilvl w:val="1"/>
          <w:numId w:val="2"/>
        </w:numPr>
        <w:spacing w:after="80" w:line="276"/>
      </w:pPr>
      <w:r>
        <w:t xml:space="preserve">aggregate-only fraud statistics.</w:t>
      </w:r>
    </w:p>
    <w:p>
      <w:pPr>
        <w:pStyle w:val="ListParagraph"/>
        <w:numPr>
          <w:ilvl w:val="0"/>
          <w:numId w:val="2"/>
        </w:numPr>
        <w:spacing w:after="80" w:line="276"/>
      </w:pPr>
      <w:r>
        <w:rPr>
          <w:b/>
          <w:bCs/>
        </w:rPr>
        <w:t xml:space="preserve">Reporting: </w:t>
      </w:r>
      <w:r>
        <w:t xml:space="preserve">settlement summaries, fraud statistics by city, and transaction history queries.</w:t>
      </w:r>
    </w:p>
    <w:p>
      <w:pPr>
        <w:pStyle w:val="ListParagraph"/>
        <w:numPr>
          <w:ilvl w:val="0"/>
          <w:numId w:val="2"/>
        </w:numPr>
        <w:spacing w:after="80" w:line="276"/>
      </w:pPr>
      <w:r>
        <w:rPr>
          <w:b/>
          <w:bCs/>
        </w:rPr>
        <w:t xml:space="preserve">Data: </w:t>
      </w:r>
      <w:r>
        <w:t xml:space="preserve">hundreds of records, loaded from the PaySim dataset plus manual inserts.</w:t>
      </w:r>
    </w:p>
    <w:p>
      <w:pPr>
        <w:pStyle w:val="Heading2"/>
        <w:spacing w:after="120" w:before="240"/>
      </w:pPr>
      <w:r>
        <w:t xml:space="preserve">Out of scope</w:t>
      </w:r>
    </w:p>
    <w:p>
      <w:pPr>
        <w:pStyle w:val="ListParagraph"/>
        <w:numPr>
          <w:ilvl w:val="0"/>
          <w:numId w:val="2"/>
        </w:numPr>
        <w:spacing w:after="80" w:line="276"/>
      </w:pPr>
      <w:r>
        <w:t xml:space="preserve">connecting to real banks or the NPCI network, or moving real money;</w:t>
      </w:r>
    </w:p>
    <w:p>
      <w:pPr>
        <w:pStyle w:val="ListParagraph"/>
        <w:numPr>
          <w:ilvl w:val="0"/>
          <w:numId w:val="2"/>
        </w:numPr>
        <w:spacing w:after="80" w:line="276"/>
      </w:pPr>
      <w:r>
        <w:t xml:space="preserve">machine-learning fraud detection (the project uses rule-based detection only);</w:t>
      </w:r>
    </w:p>
    <w:p>
      <w:pPr>
        <w:pStyle w:val="ListParagraph"/>
        <w:numPr>
          <w:ilvl w:val="0"/>
          <w:numId w:val="2"/>
        </w:numPr>
        <w:spacing w:after="80" w:line="276"/>
      </w:pPr>
      <w:r>
        <w:t xml:space="preserve">a mobile app or a production-grade user interface (an optional basic front end is listed under the tech stack);</w:t>
      </w:r>
    </w:p>
    <w:p>
      <w:pPr>
        <w:pStyle w:val="ListParagraph"/>
        <w:numPr>
          <w:ilvl w:val="0"/>
          <w:numId w:val="2"/>
        </w:numPr>
        <w:spacing w:after="80" w:line="276"/>
      </w:pPr>
      <w:r>
        <w:t xml:space="preserve">distributed databases and NoSQL storage.</w:t>
      </w:r>
    </w:p>
    <w:p>
      <w:pPr>
        <w:pStyle w:val="Heading1"/>
        <w:spacing w:after="160" w:before="360"/>
      </w:pPr>
      <w:r>
        <w:t xml:space="preserve">4.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Component</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Tool</w:t>
            </w:r>
          </w:p>
        </w:tc>
        <w:tc>
          <w:tcPr>
            <w:tcW w:type="dxa" w:w="4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Purpose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Database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MySQL 8.0.31 or later, InnoDB engine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Core implementation. Version 8.0.31 is needed for INTERSECT and EXCEPT.</w:t>
            </w:r>
          </w:p>
        </w:tc>
      </w:tr>
      <w:tr>
        <w:tc>
          <w:tcPr>
            <w:tcW w:type="dxa" w:w="2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b/>
                <w:bCs/>
              </w:rPr>
              <w:t xml:space="preserve">SQL client</w:t>
            </w:r>
          </w:p>
        </w:tc>
        <w:tc>
          <w:tcPr>
            <w:tcW w:type="dxa" w:w="3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b w:val="false"/>
                <w:bCs w:val="false"/>
              </w:rPr>
              <w:t xml:space="preserve">MySQL Workbench</w:t>
            </w:r>
          </w:p>
        </w:tc>
        <w:tc>
          <w:tcPr>
            <w:tcW w:type="dxa" w:w="40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b w:val="false"/>
                <w:bCs w:val="false"/>
              </w:rPr>
              <w:t xml:space="preserve">Writing and running queries, and reverse-engineering the schema diagram.</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ERD tool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draw.io (diagrams.net)</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Chen-notation ER diagram with specialization, participation and weak entities.</w:t>
            </w:r>
          </w:p>
        </w:tc>
      </w:tr>
      <w:tr>
        <w:tc>
          <w:tcPr>
            <w:tcW w:type="dxa" w:w="2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b/>
                <w:bCs/>
              </w:rPr>
              <w:t xml:space="preserve">Data loading</w:t>
            </w:r>
          </w:p>
        </w:tc>
        <w:tc>
          <w:tcPr>
            <w:tcW w:type="dxa" w:w="3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onsolas" w:cs="Consolas" w:eastAsia="Consolas" w:hAnsi="Consolas"/>
                <w:sz w:val="20"/>
                <w:szCs w:val="20"/>
              </w:rPr>
              <w:t xml:space="preserve">LOAD DATA INFILE</w:t>
            </w:r>
            <w:r>
              <w:t xml:space="preserve"> plus a staging table</w:t>
            </w:r>
          </w:p>
        </w:tc>
        <w:tc>
          <w:tcPr>
            <w:tcW w:type="dxa" w:w="40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t xml:space="preserve">Importing PaySim CSV data and mapping it into the schema with </w:t>
            </w:r>
            <w:r>
              <w:rPr>
                <w:rFonts w:ascii="Consolas" w:cs="Consolas" w:eastAsia="Consolas" w:hAnsi="Consolas"/>
                <w:sz w:val="20"/>
                <w:szCs w:val="20"/>
              </w:rPr>
              <w:t xml:space="preserve">INSERT ... SELECT</w:t>
            </w:r>
            <w: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Scheduling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MySQL Event Scheduler</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Refreshing the emulated materialized views automatically.</w:t>
            </w:r>
          </w:p>
        </w:tc>
      </w:tr>
      <w:tr>
        <w:tc>
          <w:tcPr>
            <w:tcW w:type="dxa" w:w="2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b/>
                <w:bCs/>
              </w:rPr>
              <w:t xml:space="preserve">Version control</w:t>
            </w:r>
          </w:p>
        </w:tc>
        <w:tc>
          <w:tcPr>
            <w:tcW w:type="dxa" w:w="3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b w:val="false"/>
                <w:bCs w:val="false"/>
              </w:rPr>
              <w:t xml:space="preserve">GitHub</w:t>
            </w:r>
          </w:p>
        </w:tc>
        <w:tc>
          <w:tcPr>
            <w:tcW w:type="dxa" w:w="40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b w:val="false"/>
                <w:bCs w:val="false"/>
              </w:rPr>
              <w:t xml:space="preserve">Sharing SQL scripts and documentation across the team of three.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i/>
                <w:iCs/>
              </w:rPr>
              <w:t xml:space="preserve">Front end (optional bonus)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i/>
                <w:iCs/>
              </w:rPr>
              <w:t xml:space="preserve">Python with mysql-connector-python and Tkinter</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i/>
                <w:iCs/>
              </w:rPr>
              <w:t xml:space="preserve">Forms for inserting data and running queries, as the guidelines allow.</w:t>
            </w:r>
          </w:p>
        </w:tc>
      </w:tr>
    </w:tbl>
    <w:p>
      <w:pPr>
        <w:spacing w:after="120" w:before="200" w:line="276"/>
      </w:pPr>
      <w:r>
        <w:t xml:space="preserve">The core project uses only MySQL tools, so everything stays within the course syllabus. The front end can be added later if time permits; nothing else depends on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UPIShield – Project Proposal</dc:title>
  <dc:creator>Jeet</dc:creator>
  <cp:lastModifiedBy>Un-named</cp:lastModifiedBy>
  <cp:revision>1</cp:revision>
  <dcterms:created xsi:type="dcterms:W3CDTF">2026-10-07T15:32:28.856Z</dcterms:created>
  <dcterms:modified xsi:type="dcterms:W3CDTF">2026-10-07T15:32:28.856Z</dcterms:modified>
</cp:coreProperties>
</file>

<file path=docProps/custom.xml><?xml version="1.0" encoding="utf-8"?>
<Properties xmlns="http://schemas.openxmlformats.org/officeDocument/2006/custom-properties" xmlns:vt="http://schemas.openxmlformats.org/officeDocument/2006/docPropsVTypes"/>
</file>