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990011"/>
          <w:spacing w:val="20"/>
          <w:sz w:val="18"/>
          <w:szCs w:val="18"/>
        </w:rPr>
        <w:t xml:space="preserve">SOFTWARE LAB — PROJECT PROGRESS REPORT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E2761"/>
          <w:sz w:val="48"/>
          <w:szCs w:val="48"/>
        </w:rPr>
        <w:t xml:space="preserve">PromptBench</w:t>
      </w:r>
    </w:p>
    <w:p>
      <w:pPr>
        <w:pBdr>
          <w:bottom w:val="single" w:color="D8DBEA" w:sz="4"/>
        </w:pBdr>
        <w:spacing w:after="200"/>
      </w:pPr>
      <w:r>
        <w:rPr>
          <w:rFonts w:ascii="Calibri" w:cs="Calibri" w:eastAsia="Calibri" w:hAnsi="Calibri"/>
          <w:i/>
          <w:iCs/>
          <w:color w:val="5C6280"/>
          <w:sz w:val="20"/>
          <w:szCs w:val="20"/>
        </w:rPr>
        <w:t xml:space="preserve">An AI-graded practice platform for the interview skill of working effectively with an AI assistant on open-ended business problems.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Project Overview</w:t>
      </w:r>
    </w:p>
    <w:p>
      <w:pPr>
        <w:spacing w:after="90"/>
      </w:pPr>
      <w:r>
        <w:rPr>
          <w:rFonts w:ascii="Calibri" w:cs="Calibri" w:eastAsia="Calibri" w:hAnsi="Calibri"/>
          <w:color w:val="1B1F3B"/>
          <w:sz w:val="21"/>
          <w:szCs w:val="21"/>
        </w:rPr>
        <w:t xml:space="preserve">PromptBench lets a candidate pick a business case, work through it with an embedded Helper AI, then submit a final answer. A separate Judge AI privately grades the full transcript and answer against a hidden rubric and ground-truth notes, returning a per-dimension score breakdown.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1F3B"/>
          <w:sz w:val="21"/>
          <w:szCs w:val="21"/>
        </w:rPr>
        <w:t xml:space="preserve">The core design rule: the Helper AI and Judge AI are architecturally isolated. The Helper never has access to the rubric, the ground truth, or any scoring information — this is the integrity guarantee of the whole product.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Current Status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shd w:fill="F0F1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6280"/>
                <w:spacing w:val="10"/>
                <w:sz w:val="15"/>
                <w:szCs w:val="15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4"/>
                <w:szCs w:val="24"/>
              </w:rPr>
              <w:t xml:space="preserve">Complete</w:t>
            </w:r>
          </w:p>
        </w:tc>
        <w:tc>
          <w:tcPr>
            <w:tcW w:type="dxa" w:w="3480"/>
            <w:shd w:fill="F0F1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6280"/>
                <w:spacing w:val="10"/>
                <w:sz w:val="15"/>
                <w:szCs w:val="15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990011"/>
                <w:sz w:val="24"/>
                <w:szCs w:val="24"/>
              </w:rPr>
              <w:t xml:space="preserve">Not started</w:t>
            </w:r>
          </w:p>
        </w:tc>
        <w:tc>
          <w:tcPr>
            <w:tcW w:type="dxa" w:w="3480"/>
            <w:shd w:fill="F0F1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6280"/>
                <w:spacing w:val="10"/>
                <w:sz w:val="15"/>
                <w:szCs w:val="15"/>
              </w:rPr>
              <w:t xml:space="preserve">DEPLOYMENT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990011"/>
                <w:sz w:val="24"/>
                <w:szCs w:val="24"/>
              </w:rPr>
              <w:t xml:space="preserve">Not started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What We Have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1F3B"/>
          <w:sz w:val="20"/>
          <w:szCs w:val="20"/>
        </w:rPr>
        <w:t xml:space="preserve">Database layer:</w:t>
      </w:r>
      <w:r>
        <w:rPr>
          <w:rFonts w:ascii="Calibri" w:cs="Calibri" w:eastAsia="Calibri" w:hAnsi="Calibri"/>
          <w:color w:val="1B1F3B"/>
          <w:sz w:val="20"/>
          <w:szCs w:val="20"/>
        </w:rPr>
        <w:t xml:space="preserve"> Database schema — all 5 tables (users, questions, submissions, transcript_turns, evaluations) implemented as SQLAlchemy models exactly per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1F3B"/>
          <w:sz w:val="20"/>
          <w:szCs w:val="20"/>
        </w:rPr>
        <w:t xml:space="preserve">Authentication:</w:t>
      </w:r>
      <w:r>
        <w:rPr>
          <w:rFonts w:ascii="Calibri" w:cs="Calibri" w:eastAsia="Calibri" w:hAnsi="Calibri"/>
          <w:color w:val="1B1F3B"/>
          <w:sz w:val="20"/>
          <w:szCs w:val="20"/>
        </w:rPr>
        <w:t xml:space="preserve"> signup, login, and JWT-protected routes working end-to-end; passwords hashed with bcrypt.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1F3B"/>
          <w:sz w:val="20"/>
          <w:szCs w:val="20"/>
        </w:rPr>
        <w:t xml:space="preserve">Case study API:</w:t>
      </w:r>
      <w:r>
        <w:rPr>
          <w:rFonts w:ascii="Calibri" w:cs="Calibri" w:eastAsia="Calibri" w:hAnsi="Calibri"/>
          <w:color w:val="1B1F3B"/>
          <w:sz w:val="20"/>
          <w:szCs w:val="20"/>
        </w:rPr>
        <w:t xml:space="preserve"> endpoints to list and fetch cases. Hidden fields (ground_truth_notes, rubric_json) are never sent to the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1F3B"/>
          <w:sz w:val="20"/>
          <w:szCs w:val="20"/>
        </w:rPr>
        <w:t xml:space="preserve">Helper AI:</w:t>
      </w:r>
      <w:r>
        <w:rPr>
          <w:rFonts w:ascii="Calibri" w:cs="Calibri" w:eastAsia="Calibri" w:hAnsi="Calibri"/>
          <w:color w:val="1B1F3B"/>
          <w:sz w:val="20"/>
          <w:szCs w:val="20"/>
        </w:rPr>
        <w:t xml:space="preserve"> chat endpoint where the candidate works through a case; every message is persisted, and the AI sees only public case context — never the answer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1F3B"/>
          <w:sz w:val="20"/>
          <w:szCs w:val="20"/>
        </w:rPr>
        <w:t xml:space="preserve">Judge AI:</w:t>
      </w:r>
      <w:r>
        <w:rPr>
          <w:rFonts w:ascii="Calibri" w:cs="Calibri" w:eastAsia="Calibri" w:hAnsi="Calibri"/>
          <w:color w:val="1B1F3B"/>
          <w:sz w:val="20"/>
          <w:szCs w:val="20"/>
        </w:rPr>
        <w:t xml:space="preserve"> grading endpoint invoked once, on final submission — takes the full transcript + final answer + hidden rubric, returns structured JSON scores with reasoning. Includes retry-safe JSON parsing for malformed model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1F3B"/>
          <w:sz w:val="20"/>
          <w:szCs w:val="20"/>
        </w:rPr>
        <w:t xml:space="preserve">Isolation guarantee:</w:t>
      </w:r>
      <w:r>
        <w:rPr>
          <w:rFonts w:ascii="Calibri" w:cs="Calibri" w:eastAsia="Calibri" w:hAnsi="Calibri"/>
          <w:color w:val="1B1F3B"/>
          <w:sz w:val="20"/>
          <w:szCs w:val="20"/>
        </w:rPr>
        <w:t xml:space="preserve"> Helper and Judge are separate functions with separate system prompts and separate API calls — enforced in code, not just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1F3B"/>
          <w:sz w:val="20"/>
          <w:szCs w:val="20"/>
        </w:rPr>
        <w:t xml:space="preserve">Anti-gaming checks:</w:t>
      </w:r>
      <w:r>
        <w:rPr>
          <w:rFonts w:ascii="Calibri" w:cs="Calibri" w:eastAsia="Calibri" w:hAnsi="Calibri"/>
          <w:color w:val="1B1F3B"/>
          <w:sz w:val="20"/>
          <w:szCs w:val="20"/>
        </w:rPr>
        <w:t xml:space="preserve"> automated checks for near-zero conversation, too-fast submission, and pre-written answers pasted as the first chat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1F3B"/>
          <w:sz w:val="20"/>
          <w:szCs w:val="20"/>
        </w:rPr>
        <w:t xml:space="preserve">Seed content:</w:t>
      </w:r>
      <w:r>
        <w:rPr>
          <w:rFonts w:ascii="Calibri" w:cs="Calibri" w:eastAsia="Calibri" w:hAnsi="Calibri"/>
          <w:color w:val="1B1F3B"/>
          <w:sz w:val="20"/>
          <w:szCs w:val="20"/>
        </w:rPr>
        <w:t xml:space="preserve"> 5 case studies loaded, covering all three categories (data diagnosis, strategy, customer reasoning) and a range of difficulties.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What's Left</w:t>
      </w:r>
    </w:p>
    <w:p>
      <w:pPr>
        <w:spacing w:after="90"/>
      </w:pPr>
      <w:r>
        <w:rPr>
          <w:rFonts w:ascii="Calibri" w:cs="Calibri" w:eastAsia="Calibri" w:hAnsi="Calibri"/>
          <w:color w:val="1B1F3B"/>
          <w:sz w:val="21"/>
          <w:szCs w:val="21"/>
        </w:rPr>
        <w:t xml:space="preserve">• Frontend (React): login/signup, case list, chat workspace, and score dashboard pages, wired to the live backend.</w:t>
      </w:r>
    </w:p>
    <w:p>
      <w:pPr>
        <w:spacing w:after="90"/>
      </w:pPr>
      <w:r>
        <w:rPr>
          <w:rFonts w:ascii="Calibri" w:cs="Calibri" w:eastAsia="Calibri" w:hAnsi="Calibri"/>
          <w:color w:val="1B1F3B"/>
          <w:sz w:val="21"/>
          <w:szCs w:val="21"/>
        </w:rPr>
        <w:t xml:space="preserve">• Deployment: frontend to Vercel, backend to Render/Railway, database already live.</w:t>
      </w:r>
    </w:p>
    <w:p>
      <w:pPr>
        <w:spacing w:after="90"/>
      </w:pPr>
      <w:r>
        <w:rPr>
          <w:rFonts w:ascii="Calibri" w:cs="Calibri" w:eastAsia="Calibri" w:hAnsi="Calibri"/>
          <w:color w:val="1B1F3B"/>
          <w:sz w:val="21"/>
          <w:szCs w:val="21"/>
        </w:rPr>
        <w:t xml:space="preserve">• Content: 3–5 additional case studies to reach the 8–10 target for "feature complete."</w:t>
      </w:r>
    </w:p>
    <w:p>
      <w:pPr>
        <w:pBdr>
          <w:top w:val="single" w:color="D8DBEA" w:sz="4"/>
        </w:pBdr>
        <w:spacing w:before="220"/>
      </w:pPr>
      <w:r>
        <w:rPr>
          <w:rFonts w:ascii="Calibri" w:cs="Calibri" w:eastAsia="Calibri" w:hAnsi="Calibri"/>
          <w:b/>
          <w:bCs/>
          <w:color w:val="990011"/>
          <w:sz w:val="16"/>
          <w:szCs w:val="16"/>
        </w:rPr>
        <w:t xml:space="preserve">TECH STACK   </w:t>
      </w:r>
      <w:r>
        <w:rPr>
          <w:rFonts w:ascii="Calibri" w:cs="Calibri" w:eastAsia="Calibri" w:hAnsi="Calibri"/>
          <w:color w:val="5C6280"/>
          <w:sz w:val="16"/>
          <w:szCs w:val="16"/>
        </w:rPr>
        <w:t xml:space="preserve">React + Tailwind  ·  FastAPI + SQLAlchemy  ·  PostgreSQL  ·  JWT + bcrypt  ·  Claude API (Helper + Judge roles)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03" w:hanging="403"/>
      </w:pPr>
      <w:rPr>
        <w:b/>
        <w:bCs/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2026-09-07T03:13:05.143Z</dcterms:created>
  <dcterms:modified xsi:type="dcterms:W3CDTF">2026-09-07T03:13:05.153Z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