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CBB5" w14:textId="77777777" w:rsidR="004C77E5" w:rsidRPr="003C097F" w:rsidRDefault="003C097F">
      <w:pPr>
        <w:ind w:left="720"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3C097F">
        <w:rPr>
          <w:rFonts w:ascii="Times New Roman" w:hAnsi="Times New Roman" w:cs="Times New Roman"/>
          <w:bCs/>
          <w:sz w:val="30"/>
          <w:szCs w:val="30"/>
        </w:rPr>
        <w:t>AWS Assignment 4</w:t>
      </w:r>
    </w:p>
    <w:p w14:paraId="32CDA2F1" w14:textId="77777777" w:rsidR="004C77E5" w:rsidRPr="003C097F" w:rsidRDefault="004C77E5">
      <w:pPr>
        <w:ind w:left="720"/>
        <w:jc w:val="both"/>
        <w:rPr>
          <w:rFonts w:ascii="Times New Roman" w:eastAsia="Roboto" w:hAnsi="Times New Roman" w:cs="Times New Roman"/>
          <w:bCs/>
          <w:sz w:val="30"/>
          <w:szCs w:val="30"/>
        </w:rPr>
      </w:pPr>
    </w:p>
    <w:p w14:paraId="15F0B645" w14:textId="157152E1" w:rsidR="004C77E5" w:rsidRDefault="003C097F">
      <w:pPr>
        <w:numPr>
          <w:ilvl w:val="0"/>
          <w:numId w:val="1"/>
        </w:numPr>
        <w:jc w:val="both"/>
        <w:rPr>
          <w:rFonts w:ascii="Times New Roman" w:eastAsia="Roboto" w:hAnsi="Times New Roman" w:cs="Times New Roman"/>
          <w:bCs/>
          <w:color w:val="FF0000"/>
          <w:sz w:val="30"/>
          <w:szCs w:val="30"/>
        </w:rPr>
      </w:pPr>
      <w:r w:rsidRPr="003C097F">
        <w:rPr>
          <w:rFonts w:ascii="Times New Roman" w:eastAsia="Roboto" w:hAnsi="Times New Roman" w:cs="Times New Roman"/>
          <w:bCs/>
          <w:color w:val="FF0000"/>
          <w:sz w:val="30"/>
          <w:szCs w:val="30"/>
        </w:rPr>
        <w:t>Explain the Snowball concept.</w:t>
      </w:r>
    </w:p>
    <w:p w14:paraId="37854CF8" w14:textId="77777777" w:rsidR="003C097F" w:rsidRPr="003C097F" w:rsidRDefault="003C097F" w:rsidP="003C097F">
      <w:pPr>
        <w:ind w:left="720"/>
        <w:jc w:val="both"/>
        <w:rPr>
          <w:rFonts w:ascii="Times New Roman" w:eastAsia="Roboto" w:hAnsi="Times New Roman" w:cs="Times New Roman"/>
          <w:bCs/>
          <w:color w:val="FF0000"/>
          <w:sz w:val="30"/>
          <w:szCs w:val="30"/>
        </w:rPr>
      </w:pPr>
    </w:p>
    <w:p w14:paraId="4E8D29D1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 xml:space="preserve">Snowball is a petabyte-scale data transport solution that uses secure appliances to transfer large amounts of data into and out of the AWS cloud. Using Snowball addresses common challenges with large-scale data transfers including high network costs, long </w:t>
      </w: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>transfer times, and security concerns.</w:t>
      </w:r>
    </w:p>
    <w:p w14:paraId="188A0BF9" w14:textId="77777777" w:rsidR="004C77E5" w:rsidRPr="003C097F" w:rsidRDefault="004C77E5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</w:p>
    <w:p w14:paraId="02FA0928" w14:textId="77777777" w:rsidR="004C77E5" w:rsidRPr="003C097F" w:rsidRDefault="004C77E5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</w:p>
    <w:p w14:paraId="4D3DF1C3" w14:textId="77777777" w:rsidR="004C77E5" w:rsidRPr="003C097F" w:rsidRDefault="003C097F">
      <w:pPr>
        <w:numPr>
          <w:ilvl w:val="0"/>
          <w:numId w:val="1"/>
        </w:numPr>
        <w:jc w:val="both"/>
        <w:rPr>
          <w:rFonts w:ascii="Times New Roman" w:eastAsia="Roboto" w:hAnsi="Times New Roman" w:cs="Times New Roman"/>
          <w:bCs/>
          <w:color w:val="FF0000"/>
          <w:sz w:val="30"/>
          <w:szCs w:val="30"/>
        </w:rPr>
      </w:pPr>
      <w:r w:rsidRPr="003C097F">
        <w:rPr>
          <w:rFonts w:ascii="Times New Roman" w:eastAsia="Roboto" w:hAnsi="Times New Roman" w:cs="Times New Roman"/>
          <w:bCs/>
          <w:color w:val="FF0000"/>
          <w:sz w:val="30"/>
          <w:szCs w:val="30"/>
        </w:rPr>
        <w:t>Make a distinction between NAT Gateways and NAT Instances.</w:t>
      </w:r>
    </w:p>
    <w:p w14:paraId="5C70A274" w14:textId="77777777" w:rsidR="004C77E5" w:rsidRPr="003C097F" w:rsidRDefault="004C77E5">
      <w:pPr>
        <w:jc w:val="both"/>
        <w:rPr>
          <w:rFonts w:ascii="Times New Roman" w:eastAsia="Roboto" w:hAnsi="Times New Roman" w:cs="Times New Roman"/>
          <w:bCs/>
          <w:sz w:val="30"/>
          <w:szCs w:val="30"/>
        </w:rPr>
      </w:pPr>
    </w:p>
    <w:tbl>
      <w:tblPr>
        <w:tblStyle w:val="a"/>
        <w:tblW w:w="98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4455"/>
        <w:gridCol w:w="3780"/>
      </w:tblGrid>
      <w:tr w:rsidR="004C77E5" w:rsidRPr="003C097F" w14:paraId="6F08FCA7" w14:textId="77777777">
        <w:trPr>
          <w:trHeight w:val="612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AFAFA"/>
            <w:tcMar>
              <w:top w:w="240" w:type="dxa"/>
              <w:left w:w="100" w:type="dxa"/>
              <w:bottom w:w="240" w:type="dxa"/>
              <w:right w:w="100" w:type="dxa"/>
            </w:tcMar>
          </w:tcPr>
          <w:p w14:paraId="68151A19" w14:textId="77777777" w:rsidR="004C77E5" w:rsidRPr="003C097F" w:rsidRDefault="003C097F">
            <w:pPr>
              <w:spacing w:line="360" w:lineRule="auto"/>
              <w:ind w:left="720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Attribute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AFAFA"/>
            <w:tcMar>
              <w:top w:w="240" w:type="dxa"/>
              <w:left w:w="100" w:type="dxa"/>
              <w:bottom w:w="240" w:type="dxa"/>
              <w:right w:w="100" w:type="dxa"/>
            </w:tcMar>
          </w:tcPr>
          <w:p w14:paraId="0C9728BF" w14:textId="77777777" w:rsidR="004C77E5" w:rsidRPr="003C097F" w:rsidRDefault="003C097F">
            <w:pPr>
              <w:spacing w:line="360" w:lineRule="auto"/>
              <w:ind w:left="720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NAT gateway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AFAFA"/>
            <w:tcMar>
              <w:top w:w="240" w:type="dxa"/>
              <w:left w:w="100" w:type="dxa"/>
              <w:bottom w:w="240" w:type="dxa"/>
              <w:right w:w="100" w:type="dxa"/>
            </w:tcMar>
          </w:tcPr>
          <w:p w14:paraId="1E02DDF0" w14:textId="77777777" w:rsidR="004C77E5" w:rsidRPr="003C097F" w:rsidRDefault="003C097F">
            <w:pPr>
              <w:spacing w:line="360" w:lineRule="auto"/>
              <w:ind w:left="720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NAT instance</w:t>
            </w:r>
          </w:p>
        </w:tc>
      </w:tr>
      <w:tr w:rsidR="004C77E5" w:rsidRPr="003C097F" w14:paraId="12DE6AB3" w14:textId="77777777">
        <w:trPr>
          <w:trHeight w:val="2775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82E9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Availability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0261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Highly available. NAT gateways in each Availability Zone are implemented with redundancy. Create a NAT gateway in each Availability Zone to ensure zone-independent architecture.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25FE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Use a script to manage failover between instances.</w:t>
            </w:r>
          </w:p>
        </w:tc>
      </w:tr>
      <w:tr w:rsidR="004C77E5" w:rsidRPr="003C097F" w14:paraId="0B573913" w14:textId="77777777">
        <w:trPr>
          <w:trHeight w:val="996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1E4E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Bandwidth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88E6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Scale up to 45 Gbps.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D56C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Depends on the bandwidth of the instance type.</w:t>
            </w:r>
          </w:p>
        </w:tc>
      </w:tr>
      <w:tr w:rsidR="004C77E5" w:rsidRPr="003C097F" w14:paraId="335959E3" w14:textId="77777777">
        <w:trPr>
          <w:trHeight w:val="2220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4128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lastRenderedPageBreak/>
              <w:t>Maintenance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584D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Managed by AWS. You do not need to perform any maintenance.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415D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Managed by you, for example, by installing software updates or operating system patches on the instance.</w:t>
            </w:r>
          </w:p>
        </w:tc>
      </w:tr>
      <w:tr w:rsidR="004C77E5" w:rsidRPr="003C097F" w14:paraId="41CC7298" w14:textId="77777777">
        <w:trPr>
          <w:trHeight w:val="975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2FC9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Performance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EF17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Software is optimized for handling NAT traffic.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FA42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A generic AMI that's configured to perform NAT.</w:t>
            </w:r>
          </w:p>
        </w:tc>
      </w:tr>
      <w:tr w:rsidR="004C77E5" w:rsidRPr="003C097F" w14:paraId="07CAB56C" w14:textId="77777777">
        <w:trPr>
          <w:trHeight w:val="2370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0909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Cost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39C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Charged depending on the number of NAT gateways you use, duration of usage, and amount of data that you send through the NAT gateways.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39B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Charged</w:t>
            </w: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 depending on the number of NAT instances that you use, duration of usage, and instance type and size.</w:t>
            </w:r>
          </w:p>
        </w:tc>
      </w:tr>
      <w:tr w:rsidR="004C77E5" w:rsidRPr="003C097F" w14:paraId="1A2C79B7" w14:textId="77777777">
        <w:trPr>
          <w:trHeight w:val="1425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A7FC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Type and size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276C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Uniform offering; you don’t need to decide on the type or size.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088A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Choose a suitable instance type and size, according to your predicted workload.</w:t>
            </w:r>
          </w:p>
        </w:tc>
      </w:tr>
      <w:tr w:rsidR="004C77E5" w:rsidRPr="003C097F" w14:paraId="10F645F5" w14:textId="77777777">
        <w:trPr>
          <w:trHeight w:val="3045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2451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Public IP addresses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122B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Choose the Elastic IP address to associate with a public NAT gateway at creation.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ADD3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Use an Elastic IP address or a public IP address with a NAT instance. You</w:t>
            </w: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 can change the public IP address at any time by associating a new Elastic IP address with the instance.</w:t>
            </w:r>
          </w:p>
        </w:tc>
      </w:tr>
      <w:tr w:rsidR="004C77E5" w:rsidRPr="003C097F" w14:paraId="5634F9E3" w14:textId="77777777">
        <w:trPr>
          <w:trHeight w:val="1770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5C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lastRenderedPageBreak/>
              <w:t>Private IP addresses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DBA4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Automatically selected from the subnet's IP address range when you create the gateway.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03D6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Assign a specific private IP address from the subnet's IP address range when you launch the instance.</w:t>
            </w:r>
          </w:p>
        </w:tc>
      </w:tr>
      <w:tr w:rsidR="004C77E5" w:rsidRPr="003C097F" w14:paraId="624473CC" w14:textId="77777777">
        <w:trPr>
          <w:trHeight w:val="2295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6ECD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Security groups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998D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You cannot associate security groups with NAT gate</w:t>
            </w: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ways. You can associate them with the resources behind the NAT gateway to control inbound and outbound traffic.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8FE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eastAsia="Roboto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Associate with your NAT instance </w:t>
            </w:r>
          </w:p>
          <w:p w14:paraId="69E3C689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and the resources behind your NAT instance to control inbound and outbound traffic.</w:t>
            </w:r>
          </w:p>
        </w:tc>
      </w:tr>
      <w:tr w:rsidR="004C77E5" w:rsidRPr="003C097F" w14:paraId="3917685C" w14:textId="77777777">
        <w:trPr>
          <w:trHeight w:val="1350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46E0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Network ACLs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38C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Use a network ACL to control the traffic to and from the subnet in which your NAT gateway resides.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FB95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Use a network ACL to control the traffic to and from the subnet in which your NAT instance resides.</w:t>
            </w:r>
          </w:p>
        </w:tc>
      </w:tr>
      <w:tr w:rsidR="004C77E5" w:rsidRPr="003C097F" w14:paraId="6D4EDD40" w14:textId="77777777">
        <w:trPr>
          <w:trHeight w:val="1003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541B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Port forwarding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82FA" w14:textId="77777777" w:rsidR="004C77E5" w:rsidRPr="003C097F" w:rsidRDefault="003C097F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Not supported.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6B43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Manually customize the configuration to support port forwarding.</w:t>
            </w:r>
          </w:p>
        </w:tc>
      </w:tr>
      <w:tr w:rsidR="004C77E5" w:rsidRPr="003C097F" w14:paraId="3A1AC172" w14:textId="77777777">
        <w:trPr>
          <w:trHeight w:val="2175"/>
        </w:trPr>
        <w:tc>
          <w:tcPr>
            <w:tcW w:w="163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E062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IP fragmentation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B418" w14:textId="77777777" w:rsidR="004C77E5" w:rsidRPr="003C097F" w:rsidRDefault="003C097F">
            <w:pPr>
              <w:spacing w:after="240"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Supports forwarding of IP fragmented packets for the UDP </w:t>
            </w:r>
            <w:proofErr w:type="spellStart"/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protocol.Does</w:t>
            </w:r>
            <w:proofErr w:type="spellEnd"/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 not support fragmentation for the TCP and ICMP protocols. Fragmented </w:t>
            </w: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lastRenderedPageBreak/>
              <w:t xml:space="preserve">packets for these protocols will </w:t>
            </w: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t>get dropped.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C1CE" w14:textId="77777777" w:rsidR="004C77E5" w:rsidRPr="003C097F" w:rsidRDefault="003C09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3C097F">
              <w:rPr>
                <w:rFonts w:ascii="Times New Roman" w:hAnsi="Times New Roman" w:cs="Times New Roman"/>
                <w:bCs/>
                <w:sz w:val="30"/>
                <w:szCs w:val="30"/>
              </w:rPr>
              <w:lastRenderedPageBreak/>
              <w:t>Supports reassembly of IP fragmented packets for the UDP, TCP, and ICMP protocols.</w:t>
            </w:r>
          </w:p>
        </w:tc>
      </w:tr>
    </w:tbl>
    <w:p w14:paraId="2F7C0270" w14:textId="77777777" w:rsidR="004C77E5" w:rsidRPr="003C097F" w:rsidRDefault="004C77E5">
      <w:pPr>
        <w:jc w:val="both"/>
        <w:rPr>
          <w:rFonts w:ascii="Times New Roman" w:eastAsia="Roboto" w:hAnsi="Times New Roman" w:cs="Times New Roman"/>
          <w:bCs/>
          <w:sz w:val="30"/>
          <w:szCs w:val="30"/>
        </w:rPr>
      </w:pPr>
    </w:p>
    <w:p w14:paraId="43765C3A" w14:textId="77777777" w:rsidR="004C77E5" w:rsidRPr="003C097F" w:rsidRDefault="004C77E5">
      <w:pPr>
        <w:jc w:val="both"/>
        <w:rPr>
          <w:rFonts w:ascii="Times New Roman" w:eastAsia="Roboto" w:hAnsi="Times New Roman" w:cs="Times New Roman"/>
          <w:bCs/>
          <w:sz w:val="30"/>
          <w:szCs w:val="30"/>
        </w:rPr>
      </w:pPr>
    </w:p>
    <w:p w14:paraId="2EBCF93C" w14:textId="0FE687A9" w:rsidR="004C77E5" w:rsidRDefault="003C097F">
      <w:pPr>
        <w:numPr>
          <w:ilvl w:val="0"/>
          <w:numId w:val="1"/>
        </w:numPr>
        <w:jc w:val="both"/>
        <w:rPr>
          <w:rFonts w:ascii="Times New Roman" w:eastAsia="Roboto" w:hAnsi="Times New Roman" w:cs="Times New Roman"/>
          <w:bCs/>
          <w:color w:val="FF0000"/>
          <w:sz w:val="30"/>
          <w:szCs w:val="30"/>
        </w:rPr>
      </w:pPr>
      <w:r w:rsidRPr="003C097F">
        <w:rPr>
          <w:rFonts w:ascii="Times New Roman" w:eastAsia="Roboto" w:hAnsi="Times New Roman" w:cs="Times New Roman"/>
          <w:bCs/>
          <w:color w:val="FF0000"/>
          <w:sz w:val="30"/>
          <w:szCs w:val="30"/>
        </w:rPr>
        <w:t>Describe the essential components of Amazon Web Services (AWS)</w:t>
      </w:r>
    </w:p>
    <w:p w14:paraId="19EF0F66" w14:textId="77777777" w:rsidR="003C097F" w:rsidRPr="003C097F" w:rsidRDefault="003C097F" w:rsidP="003C097F">
      <w:pPr>
        <w:ind w:left="720"/>
        <w:jc w:val="both"/>
        <w:rPr>
          <w:rFonts w:ascii="Times New Roman" w:eastAsia="Roboto" w:hAnsi="Times New Roman" w:cs="Times New Roman"/>
          <w:bCs/>
          <w:color w:val="FF0000"/>
          <w:sz w:val="30"/>
          <w:szCs w:val="30"/>
        </w:rPr>
      </w:pPr>
    </w:p>
    <w:p w14:paraId="22B2364F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C097F">
        <w:rPr>
          <w:rFonts w:ascii="Times New Roman" w:hAnsi="Times New Roman" w:cs="Times New Roman"/>
          <w:bCs/>
          <w:sz w:val="30"/>
          <w:szCs w:val="30"/>
        </w:rPr>
        <w:t>There are different components of AWS, but only for key components.</w:t>
      </w:r>
    </w:p>
    <w:p w14:paraId="29DA416D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C097F">
        <w:rPr>
          <w:rFonts w:ascii="Times New Roman" w:hAnsi="Times New Roman" w:cs="Times New Roman"/>
          <w:bCs/>
          <w:sz w:val="30"/>
          <w:szCs w:val="30"/>
        </w:rPr>
        <w:t>Amazon Cluster</w:t>
      </w:r>
    </w:p>
    <w:p w14:paraId="350CCC70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C097F">
        <w:rPr>
          <w:rFonts w:ascii="Times New Roman" w:hAnsi="Times New Roman" w:cs="Times New Roman"/>
          <w:bCs/>
          <w:sz w:val="30"/>
          <w:szCs w:val="30"/>
        </w:rPr>
        <w:t>Storage</w:t>
      </w:r>
    </w:p>
    <w:p w14:paraId="470BB65C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C097F">
        <w:rPr>
          <w:rFonts w:ascii="Times New Roman" w:hAnsi="Times New Roman" w:cs="Times New Roman"/>
          <w:bCs/>
          <w:sz w:val="30"/>
          <w:szCs w:val="30"/>
        </w:rPr>
        <w:t>Databases</w:t>
      </w:r>
    </w:p>
    <w:p w14:paraId="275FC0D0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C097F">
        <w:rPr>
          <w:rFonts w:ascii="Times New Roman" w:hAnsi="Times New Roman" w:cs="Times New Roman"/>
          <w:bCs/>
          <w:sz w:val="30"/>
          <w:szCs w:val="30"/>
        </w:rPr>
        <w:t>Management and security</w:t>
      </w:r>
    </w:p>
    <w:p w14:paraId="1F74B9CA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C097F">
        <w:rPr>
          <w:rFonts w:ascii="Times New Roman" w:hAnsi="Times New Roman" w:cs="Times New Roman"/>
          <w:bCs/>
          <w:sz w:val="30"/>
          <w:szCs w:val="30"/>
        </w:rPr>
        <w:t>Networks</w:t>
      </w:r>
    </w:p>
    <w:p w14:paraId="5C084622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C097F">
        <w:rPr>
          <w:rFonts w:ascii="Times New Roman" w:hAnsi="Times New Roman" w:cs="Times New Roman"/>
          <w:bCs/>
          <w:sz w:val="30"/>
          <w:szCs w:val="30"/>
        </w:rPr>
        <w:t>Analytics</w:t>
      </w:r>
    </w:p>
    <w:p w14:paraId="447778B1" w14:textId="77777777" w:rsidR="004C77E5" w:rsidRPr="003C097F" w:rsidRDefault="004C77E5">
      <w:pPr>
        <w:ind w:left="720"/>
        <w:jc w:val="both"/>
        <w:rPr>
          <w:rFonts w:ascii="Times New Roman" w:eastAsia="Roboto" w:hAnsi="Times New Roman" w:cs="Times New Roman"/>
          <w:bCs/>
          <w:sz w:val="30"/>
          <w:szCs w:val="30"/>
        </w:rPr>
      </w:pPr>
    </w:p>
    <w:p w14:paraId="365DFF2F" w14:textId="032E8DF5" w:rsidR="004C77E5" w:rsidRDefault="003C097F">
      <w:pPr>
        <w:numPr>
          <w:ilvl w:val="0"/>
          <w:numId w:val="1"/>
        </w:numPr>
        <w:jc w:val="both"/>
        <w:rPr>
          <w:rFonts w:ascii="Times New Roman" w:eastAsia="Roboto" w:hAnsi="Times New Roman" w:cs="Times New Roman"/>
          <w:bCs/>
          <w:color w:val="FF0000"/>
          <w:sz w:val="30"/>
          <w:szCs w:val="30"/>
        </w:rPr>
      </w:pPr>
      <w:r w:rsidRPr="003C097F">
        <w:rPr>
          <w:rFonts w:ascii="Times New Roman" w:eastAsia="Roboto" w:hAnsi="Times New Roman" w:cs="Times New Roman"/>
          <w:bCs/>
          <w:color w:val="FF0000"/>
          <w:sz w:val="30"/>
          <w:szCs w:val="30"/>
        </w:rPr>
        <w:t>When should you utilize a spin-up server? Use examples to demonstrate your point.</w:t>
      </w:r>
    </w:p>
    <w:p w14:paraId="2C089193" w14:textId="77777777" w:rsidR="003C097F" w:rsidRPr="003C097F" w:rsidRDefault="003C097F" w:rsidP="003C097F">
      <w:pPr>
        <w:ind w:left="720"/>
        <w:jc w:val="both"/>
        <w:rPr>
          <w:rFonts w:ascii="Times New Roman" w:eastAsia="Roboto" w:hAnsi="Times New Roman" w:cs="Times New Roman"/>
          <w:bCs/>
          <w:color w:val="FF0000"/>
          <w:sz w:val="30"/>
          <w:szCs w:val="30"/>
        </w:rPr>
      </w:pPr>
    </w:p>
    <w:p w14:paraId="4F138298" w14:textId="63A51CD6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  <w:r w:rsidRPr="003C097F">
        <w:rPr>
          <w:rFonts w:ascii="Times New Roman" w:hAnsi="Times New Roman" w:cs="Times New Roman"/>
          <w:bCs/>
          <w:sz w:val="30"/>
          <w:szCs w:val="30"/>
        </w:rPr>
        <w:t xml:space="preserve">There are multiple scenarios </w:t>
      </w:r>
      <w:r w:rsidRPr="003C097F">
        <w:rPr>
          <w:rFonts w:ascii="Times New Roman" w:hAnsi="Times New Roman" w:cs="Times New Roman"/>
          <w:bCs/>
          <w:sz w:val="30"/>
          <w:szCs w:val="30"/>
        </w:rPr>
        <w:t>in which spin up of server required. Its</w:t>
      </w:r>
      <w:r w:rsidRPr="003C097F">
        <w:rPr>
          <w:rFonts w:ascii="Times New Roman" w:hAnsi="Times New Roman" w:cs="Times New Roman"/>
          <w:bCs/>
          <w:sz w:val="30"/>
          <w:szCs w:val="30"/>
        </w:rPr>
        <w:t xml:space="preserve"> mean </w:t>
      </w: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 xml:space="preserve"> starting a new instance of a particular service on Amazon Web Services.</w:t>
      </w:r>
    </w:p>
    <w:p w14:paraId="3A85D6DD" w14:textId="77777777" w:rsidR="004C77E5" w:rsidRPr="003C097F" w:rsidRDefault="004C77E5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</w:p>
    <w:p w14:paraId="3B90A75D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>Spinning of the server can be either done by manual or automatic approach.</w:t>
      </w:r>
    </w:p>
    <w:p w14:paraId="377174C6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 xml:space="preserve">For </w:t>
      </w:r>
      <w:proofErr w:type="gramStart"/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>example</w:t>
      </w:r>
      <w:proofErr w:type="gramEnd"/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 xml:space="preserve"> If any sales is going on for some product then at </w:t>
      </w: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>that time there might be higher chances of spike than usual .In this situation we spin up the server to handle the load if it reaches a certain threshold.</w:t>
      </w:r>
    </w:p>
    <w:p w14:paraId="7896F2F0" w14:textId="7F544283" w:rsidR="004C77E5" w:rsidRDefault="004C77E5">
      <w:pPr>
        <w:jc w:val="both"/>
        <w:rPr>
          <w:rFonts w:ascii="Times New Roman" w:hAnsi="Times New Roman" w:cs="Times New Roman"/>
          <w:bCs/>
          <w:sz w:val="30"/>
          <w:szCs w:val="30"/>
        </w:rPr>
      </w:pPr>
    </w:p>
    <w:p w14:paraId="5E88A981" w14:textId="77777777" w:rsidR="003C097F" w:rsidRPr="003C097F" w:rsidRDefault="003C097F">
      <w:pPr>
        <w:jc w:val="both"/>
        <w:rPr>
          <w:rFonts w:ascii="Times New Roman" w:eastAsia="Roboto" w:hAnsi="Times New Roman" w:cs="Times New Roman"/>
          <w:bCs/>
          <w:sz w:val="30"/>
          <w:szCs w:val="30"/>
        </w:rPr>
      </w:pPr>
    </w:p>
    <w:p w14:paraId="51F2EC2E" w14:textId="77777777" w:rsidR="004C77E5" w:rsidRPr="003C097F" w:rsidRDefault="004C77E5">
      <w:pPr>
        <w:jc w:val="both"/>
        <w:rPr>
          <w:rFonts w:ascii="Times New Roman" w:eastAsia="Roboto" w:hAnsi="Times New Roman" w:cs="Times New Roman"/>
          <w:bCs/>
          <w:sz w:val="30"/>
          <w:szCs w:val="30"/>
        </w:rPr>
      </w:pPr>
    </w:p>
    <w:p w14:paraId="6F5B7873" w14:textId="3BDB94E7" w:rsidR="004C77E5" w:rsidRDefault="003C097F">
      <w:pPr>
        <w:numPr>
          <w:ilvl w:val="0"/>
          <w:numId w:val="1"/>
        </w:numPr>
        <w:jc w:val="both"/>
        <w:rPr>
          <w:rFonts w:ascii="Times New Roman" w:eastAsia="Roboto" w:hAnsi="Times New Roman" w:cs="Times New Roman"/>
          <w:bCs/>
          <w:color w:val="FF0000"/>
          <w:sz w:val="30"/>
          <w:szCs w:val="30"/>
        </w:rPr>
      </w:pPr>
      <w:r w:rsidRPr="003C097F">
        <w:rPr>
          <w:rFonts w:ascii="Times New Roman" w:eastAsia="Roboto" w:hAnsi="Times New Roman" w:cs="Times New Roman"/>
          <w:bCs/>
          <w:color w:val="FF0000"/>
          <w:sz w:val="30"/>
          <w:szCs w:val="30"/>
        </w:rPr>
        <w:lastRenderedPageBreak/>
        <w:t>Explain the concept of EC2 auto scaling.</w:t>
      </w:r>
    </w:p>
    <w:p w14:paraId="71EC2FFE" w14:textId="77777777" w:rsidR="003C097F" w:rsidRPr="003C097F" w:rsidRDefault="003C097F" w:rsidP="003C097F">
      <w:pPr>
        <w:ind w:left="720"/>
        <w:jc w:val="both"/>
        <w:rPr>
          <w:rFonts w:ascii="Times New Roman" w:eastAsia="Roboto" w:hAnsi="Times New Roman" w:cs="Times New Roman"/>
          <w:bCs/>
          <w:color w:val="FF0000"/>
          <w:sz w:val="30"/>
          <w:szCs w:val="30"/>
        </w:rPr>
      </w:pPr>
    </w:p>
    <w:p w14:paraId="2328C885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 xml:space="preserve">AWS Auto Scaling </w:t>
      </w: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>monitors your applications and automatically adjusts capacity to maintain steady, predictable performance at the lowest possible cost</w:t>
      </w: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>. .AWS Auto Scaling makes scaling simple with recommendations that allow you to optimize performance, costs, or balance bet</w:t>
      </w: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>ween them.</w:t>
      </w:r>
    </w:p>
    <w:p w14:paraId="6EA149CA" w14:textId="77777777" w:rsidR="004C77E5" w:rsidRPr="003C097F" w:rsidRDefault="004C77E5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</w:p>
    <w:p w14:paraId="3C98C26B" w14:textId="77777777" w:rsidR="004C77E5" w:rsidRPr="003C097F" w:rsidRDefault="003C097F">
      <w:pPr>
        <w:ind w:left="720"/>
        <w:jc w:val="both"/>
        <w:rPr>
          <w:rFonts w:ascii="Times New Roman" w:hAnsi="Times New Roman" w:cs="Times New Roman"/>
          <w:bCs/>
          <w:sz w:val="30"/>
          <w:szCs w:val="30"/>
          <w:highlight w:val="white"/>
        </w:rPr>
      </w:pP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 xml:space="preserve">It’s easy to get started with AWS Auto Scaling using the </w:t>
      </w:r>
      <w:hyperlink r:id="rId5">
        <w:r w:rsidRPr="003C097F">
          <w:rPr>
            <w:rFonts w:ascii="Times New Roman" w:hAnsi="Times New Roman" w:cs="Times New Roman"/>
            <w:bCs/>
            <w:sz w:val="30"/>
            <w:szCs w:val="30"/>
            <w:highlight w:val="white"/>
          </w:rPr>
          <w:t>AWS Management Console</w:t>
        </w:r>
      </w:hyperlink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>, Command Line Interface (CLI), or SDK. AWS Auto Scaling is available at no additional charge. You pay</w:t>
      </w:r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 xml:space="preserve"> only for the AWS resources needed to run your applications and </w:t>
      </w:r>
      <w:hyperlink r:id="rId6">
        <w:r w:rsidRPr="003C097F">
          <w:rPr>
            <w:rFonts w:ascii="Times New Roman" w:hAnsi="Times New Roman" w:cs="Times New Roman"/>
            <w:bCs/>
            <w:sz w:val="30"/>
            <w:szCs w:val="30"/>
            <w:highlight w:val="white"/>
          </w:rPr>
          <w:t>Amazon CloudWatch</w:t>
        </w:r>
      </w:hyperlink>
      <w:r w:rsidRPr="003C097F">
        <w:rPr>
          <w:rFonts w:ascii="Times New Roman" w:hAnsi="Times New Roman" w:cs="Times New Roman"/>
          <w:bCs/>
          <w:sz w:val="30"/>
          <w:szCs w:val="30"/>
          <w:highlight w:val="white"/>
        </w:rPr>
        <w:t xml:space="preserve"> monitoring fees.</w:t>
      </w:r>
    </w:p>
    <w:p w14:paraId="4B675C69" w14:textId="77777777" w:rsidR="004C77E5" w:rsidRPr="003C097F" w:rsidRDefault="004C77E5">
      <w:pPr>
        <w:rPr>
          <w:rFonts w:ascii="Times New Roman" w:hAnsi="Times New Roman" w:cs="Times New Roman"/>
          <w:bCs/>
          <w:sz w:val="30"/>
          <w:szCs w:val="30"/>
        </w:rPr>
      </w:pPr>
    </w:p>
    <w:sectPr w:rsidR="004C77E5" w:rsidRPr="003C0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7DCC"/>
    <w:multiLevelType w:val="multilevel"/>
    <w:tmpl w:val="909E7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7E5"/>
    <w:rsid w:val="003C097F"/>
    <w:rsid w:val="004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E35"/>
  <w15:docId w15:val="{A896105B-C024-4D70-A061-76F51C78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loudwatch/" TargetMode="External"/><Relationship Id="rId5" Type="http://schemas.openxmlformats.org/officeDocument/2006/relationships/hyperlink" Target="https://console.aws.amazon.com/console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Ridha P</cp:lastModifiedBy>
  <cp:revision>2</cp:revision>
  <dcterms:created xsi:type="dcterms:W3CDTF">2022-03-12T05:32:00Z</dcterms:created>
  <dcterms:modified xsi:type="dcterms:W3CDTF">2022-03-12T05:34:00Z</dcterms:modified>
</cp:coreProperties>
</file>