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4472C4"/>
          <w:sz w:val="28"/>
        </w:rPr>
        <w:t>WEEK 3 TASK</w:t>
      </w:r>
    </w:p>
    <w:p>
      <w:pPr>
        <w:pStyle w:val="Title"/>
        <w:jc w:val="center"/>
      </w:pPr>
      <w:r>
        <w:t>Python-Based Machine Learning</w:t>
        <w:br/>
        <w:t>Model Development and Evaluation Plan</w:t>
      </w:r>
    </w:p>
    <w:p>
      <w:pPr>
        <w:jc w:val="center"/>
      </w:pPr>
      <w:r>
        <w:rPr>
          <w:i/>
          <w:color w:val="595959"/>
          <w:sz w:val="26"/>
        </w:rPr>
        <w:t>A structured plan for predicting customer churn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b/>
                <w:color w:val="FFFFFF"/>
                <w:sz w:val="18"/>
              </w:rPr>
              <w:t>Assignment details</w:t>
            </w:r>
          </w:p>
        </w:tc>
        <w:tc>
          <w:tcPr>
            <w:tcW w:type="dxa" w:w="4968"/>
            <w:vAlign w:val="center"/>
            <w:shd w:fill="17365D"/>
          </w:tcPr>
          <w:p>
            <w:pPr>
              <w:spacing w:after="40"/>
            </w:pPr>
            <w:r/>
            <w:r>
              <w:rPr>
                <w:b/>
                <w:color w:val="FFFFFF"/>
                <w:sz w:val="18"/>
              </w:rPr>
              <w:t>Description</w:t>
            </w:r>
          </w:p>
        </w:tc>
      </w:tr>
      <w:tr>
        <w:tc>
          <w:tcPr>
            <w:tcW w:type="dxa" w:w="4968"/>
            <w:vAlign w:val="center"/>
            <w:shd w:fill="F2F6FA"/>
          </w:tcPr>
          <w:p>
            <w:pPr>
              <w:spacing w:after="40"/>
            </w:pPr>
            <w:r/>
            <w:r>
              <w:rPr>
                <w:b w:val="0"/>
                <w:sz w:val="17"/>
              </w:rPr>
              <w:t>Task</w:t>
            </w:r>
          </w:p>
        </w:tc>
        <w:tc>
          <w:tcPr>
            <w:tcW w:type="dxa" w:w="4968"/>
            <w:vAlign w:val="center"/>
            <w:shd w:fill="F2F6FA"/>
          </w:tcPr>
          <w:p>
            <w:pPr>
              <w:spacing w:after="40"/>
            </w:pPr>
            <w:r/>
            <w:r>
              <w:rPr>
                <w:b w:val="0"/>
                <w:sz w:val="17"/>
              </w:rPr>
              <w:t>Week 3: Python-Based Machine Learning Model Development and Evaluation Plan</w:t>
            </w:r>
          </w:p>
        </w:tc>
      </w:tr>
      <w:tr>
        <w:tc>
          <w:tcPr>
            <w:tcW w:type="dxa" w:w="4968"/>
            <w:vAlign w:val="center"/>
          </w:tcPr>
          <w:p>
            <w:pPr>
              <w:spacing w:after="40"/>
            </w:pPr>
            <w:r/>
            <w:r>
              <w:rPr>
                <w:b w:val="0"/>
                <w:sz w:val="17"/>
              </w:rPr>
              <w:t>Project type</w:t>
            </w:r>
          </w:p>
        </w:tc>
        <w:tc>
          <w:tcPr>
            <w:tcW w:type="dxa" w:w="4968"/>
            <w:vAlign w:val="center"/>
          </w:tcPr>
          <w:p>
            <w:pPr>
              <w:spacing w:after="40"/>
            </w:pPr>
            <w:r/>
            <w:r>
              <w:rPr>
                <w:b w:val="0"/>
                <w:sz w:val="17"/>
              </w:rPr>
              <w:t>Conceptual machine learning project; no code execution required</w:t>
            </w:r>
          </w:p>
        </w:tc>
      </w:tr>
      <w:tr>
        <w:tc>
          <w:tcPr>
            <w:tcW w:type="dxa" w:w="4968"/>
            <w:vAlign w:val="center"/>
            <w:shd w:fill="F2F6FA"/>
          </w:tcPr>
          <w:p>
            <w:pPr>
              <w:spacing w:after="40"/>
            </w:pPr>
            <w:r/>
            <w:r>
              <w:rPr>
                <w:b w:val="0"/>
                <w:sz w:val="17"/>
              </w:rPr>
              <w:t>Hypothetical use case</w:t>
            </w:r>
          </w:p>
        </w:tc>
        <w:tc>
          <w:tcPr>
            <w:tcW w:type="dxa" w:w="4968"/>
            <w:vAlign w:val="center"/>
            <w:shd w:fill="F2F6FA"/>
          </w:tcPr>
          <w:p>
            <w:pPr>
              <w:spacing w:after="40"/>
            </w:pPr>
            <w:r/>
            <w:r>
              <w:rPr>
                <w:b w:val="0"/>
                <w:sz w:val="17"/>
              </w:rPr>
              <w:t>Customer churn prediction for a subscription-based service</w:t>
            </w:r>
          </w:p>
        </w:tc>
      </w:tr>
      <w:tr>
        <w:tc>
          <w:tcPr>
            <w:tcW w:type="dxa" w:w="4968"/>
            <w:vAlign w:val="center"/>
          </w:tcPr>
          <w:p>
            <w:pPr>
              <w:spacing w:after="40"/>
            </w:pPr>
            <w:r/>
            <w:r>
              <w:rPr>
                <w:b w:val="0"/>
                <w:sz w:val="17"/>
              </w:rPr>
              <w:t>Planned tools</w:t>
            </w:r>
          </w:p>
        </w:tc>
        <w:tc>
          <w:tcPr>
            <w:tcW w:type="dxa" w:w="4968"/>
            <w:vAlign w:val="center"/>
          </w:tcPr>
          <w:p>
            <w:pPr>
              <w:spacing w:after="40"/>
            </w:pPr>
            <w:r/>
            <w:r>
              <w:rPr>
                <w:b w:val="0"/>
                <w:sz w:val="17"/>
              </w:rPr>
              <w:t>Python, pandas, NumPy, scikit-learn, Matplotlib/Seaborn, joblib, and a model-serving API</w:t>
            </w:r>
          </w:p>
        </w:tc>
      </w:tr>
    </w:tbl>
    <w:p>
      <w:pPr>
        <w:spacing w:after="20"/>
      </w:pPr>
    </w:p>
    <w:p>
      <w:pPr>
        <w:spacing w:before="700"/>
        <w:jc w:val="center"/>
      </w:pPr>
      <w:r>
        <w:rPr>
          <w:color w:val="646464"/>
        </w:rPr>
        <w:t>Prepared as a planning document</w:t>
      </w:r>
    </w:p>
    <w:p>
      <w:r>
        <w:br w:type="page"/>
      </w:r>
    </w:p>
    <w:p>
      <w:pPr>
        <w:pStyle w:val="Heading1"/>
      </w:pPr>
      <w:r>
        <w:t>1. Executive Summary</w:t>
      </w:r>
    </w:p>
    <w:p>
      <w:r>
        <w:t>This document proposes a complete, practical workflow for developing a machine learning model that predicts whether a customer is likely to stop using a subscription service. Customer churn is a useful classification problem because organisations can use early risk signals to plan customer support, improve service quality, and design retention campaigns. The plan covers problem definition, data understanding, preprocessing, feature engineering, model selection, training, hyperparameter tuning, validation, evaluation, deployment, and ongoing monitoring.</w:t>
      </w:r>
    </w:p>
    <w:p>
      <w:r>
        <w:t>The recommended initial model is a class-weighted Random Forest classifier, compared against a simple Dummy Classifier and Logistic Regression baseline. The final choice will be based on validation results, recall and precision trade-offs, ROC-AUC/PR-AUC, calibration, interpretability, and operational requirements—not on accuracy alone. No performance figures are claimed because this is a proposed plan and no dataset has been analysed.</w:t>
      </w:r>
    </w:p>
    <w:p>
      <w:pPr>
        <w:pStyle w:val="Heading1"/>
      </w:pPr>
      <w:r>
        <w:t>2. Problem Definition and Business Relevance</w:t>
      </w:r>
    </w:p>
    <w:p>
      <w:pPr>
        <w:pStyle w:val="Heading2"/>
      </w:pPr>
      <w:r>
        <w:t>2.1 Hypothetical problem</w:t>
      </w:r>
    </w:p>
    <w:p>
      <w:r>
        <w:t>A subscription-based digital service wants to identify customers who may cancel their subscriptions in the next 30 days. The model will use information available before the prediction date, such as subscription tenure, plan type, recent usage, support interactions, billing history, and previous service interruptions. The target variable will be Churn, where 1 means the customer cancels within the defined prediction window and 0 means the customer remains subscribed.</w:t>
      </w:r>
    </w:p>
    <w:p>
      <w:pPr>
        <w:pStyle w:val="Heading2"/>
      </w:pPr>
      <w:r>
        <w:t>2.2 Objectives and success criteria</w:t>
      </w:r>
    </w:p>
    <w:p>
      <w:pPr>
        <w:pStyle w:val="ListBullet"/>
        <w:spacing w:after="40"/>
      </w:pPr>
      <w:r>
        <w:t>Primary objective: rank customers by estimated churn risk so the retention team can prioritise outreach.</w:t>
      </w:r>
    </w:p>
    <w:p>
      <w:pPr>
        <w:pStyle w:val="ListBullet"/>
        <w:spacing w:after="40"/>
      </w:pPr>
      <w:r>
        <w:t>Business objective: support cost-effective retention activity while avoiding unnecessary contact with customers who are unlikely to churn.</w:t>
      </w:r>
    </w:p>
    <w:p>
      <w:pPr>
        <w:pStyle w:val="ListBullet"/>
        <w:spacing w:after="40"/>
      </w:pPr>
      <w:r>
        <w:t>Technical objective: develop a reproducible, validated binary classification pipeline with a documented decision threshold.</w:t>
      </w:r>
    </w:p>
    <w:p>
      <w:pPr>
        <w:pStyle w:val="ListBullet"/>
        <w:spacing w:after="40"/>
      </w:pPr>
      <w:r>
        <w:t>Success criteria: outperform a simple baseline, show stable cross-validation results, provide useful recall at a manageable precision, and meet agreed latency, fairness, privacy, and maintainability requirements.</w:t>
      </w:r>
    </w:p>
    <w:p>
      <w:pPr>
        <w:pStyle w:val="Heading2"/>
      </w:pPr>
      <w:r>
        <w:t>2.3 Scope and assumptions</w:t>
      </w:r>
    </w:p>
    <w:p>
      <w:pPr>
        <w:pStyle w:val="ListBullet"/>
        <w:spacing w:after="40"/>
      </w:pPr>
      <w:r>
        <w:t>The project begins with historical, labelled customer data and is a planning exercise rather than a completed implementation.</w:t>
      </w:r>
    </w:p>
    <w:p>
      <w:pPr>
        <w:pStyle w:val="ListBullet"/>
        <w:spacing w:after="40"/>
      </w:pPr>
      <w:r>
        <w:t>The target definition and prediction window must be agreed with business stakeholders before modelling.</w:t>
      </w:r>
    </w:p>
    <w:p>
      <w:pPr>
        <w:pStyle w:val="ListBullet"/>
        <w:spacing w:after="40"/>
      </w:pPr>
      <w:r>
        <w:t>Only information that would genuinely be available at prediction time may be used.</w:t>
      </w:r>
    </w:p>
    <w:p>
      <w:pPr>
        <w:pStyle w:val="ListBullet"/>
        <w:spacing w:after="40"/>
      </w:pPr>
      <w:r>
        <w:t>The model supports human decision-making; it should not automatically deny service or impose penalties.</w:t>
      </w:r>
    </w:p>
    <w:p>
      <w:pPr>
        <w:pStyle w:val="Heading2"/>
      </w:pPr>
      <w:r>
        <w:t>2.4 Why machine learning is appropriate</w:t>
      </w:r>
    </w:p>
    <w:p>
      <w:r>
        <w:t>Churn can depend on many interacting factors, and their relationships may be nonlinear. Machine learning can combine these signals to estimate risk consistently. However, a model is useful only if its predictions lead to better decisions than simple rules or existing practice. A baseline and a small pilot should therefore be used to test whether the approach adds practical value.</w:t>
      </w:r>
    </w:p>
    <w:p>
      <w:pPr>
        <w:pStyle w:val="Heading1"/>
      </w:pPr>
      <w:r>
        <w:t>3. Data Understanding and Collection Plan</w:t>
      </w:r>
    </w:p>
    <w:p>
      <w:r>
        <w:t>The planned dataset is a hypothetical customer-level table assembled from subscription records, product usage logs, customer-support records, and billing data. Each row should represent one customer at a clearly defined prediction date. A data dictionary and lineage record should explain the origin, meaning, unit, and update frequency of every field.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b/>
                <w:color w:val="FFFFFF"/>
                <w:sz w:val="18"/>
              </w:rPr>
              <w:t>Example feature</w:t>
            </w:r>
          </w:p>
        </w:tc>
        <w:tc>
          <w:tcPr>
            <w:tcW w:type="dxa" w:w="2484"/>
            <w:vAlign w:val="center"/>
            <w:shd w:fill="17365D"/>
          </w:tcPr>
          <w:p>
            <w:pPr>
              <w:spacing w:after="40"/>
            </w:pPr>
            <w:r/>
            <w:r>
              <w:rPr>
                <w:b/>
                <w:color w:val="FFFFFF"/>
                <w:sz w:val="18"/>
              </w:rPr>
              <w:t>Type</w:t>
            </w:r>
          </w:p>
        </w:tc>
        <w:tc>
          <w:tcPr>
            <w:tcW w:type="dxa" w:w="2484"/>
            <w:vAlign w:val="center"/>
            <w:shd w:fill="17365D"/>
          </w:tcPr>
          <w:p>
            <w:pPr>
              <w:spacing w:after="40"/>
            </w:pPr>
            <w:r/>
            <w:r>
              <w:rPr>
                <w:b/>
                <w:color w:val="FFFFFF"/>
                <w:sz w:val="18"/>
              </w:rPr>
              <w:t>Possible relevance</w:t>
            </w:r>
          </w:p>
        </w:tc>
        <w:tc>
          <w:tcPr>
            <w:tcW w:type="dxa" w:w="2484"/>
            <w:vAlign w:val="center"/>
            <w:shd w:fill="17365D"/>
          </w:tcPr>
          <w:p>
            <w:pPr>
              <w:spacing w:after="40"/>
            </w:pPr>
            <w:r/>
            <w:r>
              <w:rPr>
                <w:b/>
                <w:color w:val="FFFFFF"/>
                <w:sz w:val="18"/>
              </w:rPr>
              <w:t>Data-quality checks</w:t>
            </w:r>
          </w:p>
        </w:tc>
      </w:tr>
      <w:tr>
        <w:tc>
          <w:tcPr>
            <w:tcW w:type="dxa" w:w="2484"/>
            <w:vAlign w:val="center"/>
            <w:shd w:fill="F2F6FA"/>
          </w:tcPr>
          <w:p>
            <w:pPr>
              <w:spacing w:after="40"/>
            </w:pPr>
            <w:r/>
            <w:r>
              <w:rPr>
                <w:b w:val="0"/>
                <w:sz w:val="17"/>
              </w:rPr>
              <w:t>Customer tenure</w:t>
            </w:r>
          </w:p>
        </w:tc>
        <w:tc>
          <w:tcPr>
            <w:tcW w:type="dxa" w:w="2484"/>
            <w:vAlign w:val="center"/>
            <w:shd w:fill="F2F6FA"/>
          </w:tcPr>
          <w:p>
            <w:pPr>
              <w:spacing w:after="40"/>
            </w:pPr>
            <w:r/>
            <w:r>
              <w:rPr>
                <w:b w:val="0"/>
                <w:sz w:val="17"/>
              </w:rPr>
              <w:t>Numeric</w:t>
            </w:r>
          </w:p>
        </w:tc>
        <w:tc>
          <w:tcPr>
            <w:tcW w:type="dxa" w:w="2484"/>
            <w:vAlign w:val="center"/>
            <w:shd w:fill="F2F6FA"/>
          </w:tcPr>
          <w:p>
            <w:pPr>
              <w:spacing w:after="40"/>
            </w:pPr>
            <w:r/>
            <w:r>
              <w:rPr>
                <w:b w:val="0"/>
                <w:sz w:val="17"/>
              </w:rPr>
              <w:t>Newer customers may behave differently from long-term customers.</w:t>
            </w:r>
          </w:p>
        </w:tc>
        <w:tc>
          <w:tcPr>
            <w:tcW w:type="dxa" w:w="2484"/>
            <w:vAlign w:val="center"/>
            <w:shd w:fill="F2F6FA"/>
          </w:tcPr>
          <w:p>
            <w:pPr>
              <w:spacing w:after="40"/>
            </w:pPr>
            <w:r/>
            <w:r>
              <w:rPr>
                <w:b w:val="0"/>
                <w:sz w:val="17"/>
              </w:rPr>
              <w:t>Non-negative values; confirm unit is days or months.</w:t>
            </w:r>
          </w:p>
        </w:tc>
      </w:tr>
      <w:tr>
        <w:tc>
          <w:tcPr>
            <w:tcW w:type="dxa" w:w="2484"/>
            <w:vAlign w:val="center"/>
          </w:tcPr>
          <w:p>
            <w:pPr>
              <w:spacing w:after="40"/>
            </w:pPr>
            <w:r/>
            <w:r>
              <w:rPr>
                <w:b w:val="0"/>
                <w:sz w:val="17"/>
              </w:rPr>
              <w:t>Monthly fee</w:t>
            </w:r>
          </w:p>
        </w:tc>
        <w:tc>
          <w:tcPr>
            <w:tcW w:type="dxa" w:w="2484"/>
            <w:vAlign w:val="center"/>
          </w:tcPr>
          <w:p>
            <w:pPr>
              <w:spacing w:after="40"/>
            </w:pPr>
            <w:r/>
            <w:r>
              <w:rPr>
                <w:b w:val="0"/>
                <w:sz w:val="17"/>
              </w:rPr>
              <w:t>Numeric</w:t>
            </w:r>
          </w:p>
        </w:tc>
        <w:tc>
          <w:tcPr>
            <w:tcW w:type="dxa" w:w="2484"/>
            <w:vAlign w:val="center"/>
          </w:tcPr>
          <w:p>
            <w:pPr>
              <w:spacing w:after="40"/>
            </w:pPr>
            <w:r/>
            <w:r>
              <w:rPr>
                <w:b w:val="0"/>
                <w:sz w:val="17"/>
              </w:rPr>
              <w:t>May relate to perceived value or affordability.</w:t>
            </w:r>
          </w:p>
        </w:tc>
        <w:tc>
          <w:tcPr>
            <w:tcW w:type="dxa" w:w="2484"/>
            <w:vAlign w:val="center"/>
          </w:tcPr>
          <w:p>
            <w:pPr>
              <w:spacing w:after="40"/>
            </w:pPr>
            <w:r/>
            <w:r>
              <w:rPr>
                <w:b w:val="0"/>
                <w:sz w:val="17"/>
              </w:rPr>
              <w:t>Valid currency and plausible range.</w:t>
            </w:r>
          </w:p>
        </w:tc>
      </w:tr>
      <w:tr>
        <w:tc>
          <w:tcPr>
            <w:tcW w:type="dxa" w:w="2484"/>
            <w:vAlign w:val="center"/>
            <w:shd w:fill="F2F6FA"/>
          </w:tcPr>
          <w:p>
            <w:pPr>
              <w:spacing w:after="40"/>
            </w:pPr>
            <w:r/>
            <w:r>
              <w:rPr>
                <w:b w:val="0"/>
                <w:sz w:val="17"/>
              </w:rPr>
              <w:t>Plan type</w:t>
            </w:r>
          </w:p>
        </w:tc>
        <w:tc>
          <w:tcPr>
            <w:tcW w:type="dxa" w:w="2484"/>
            <w:vAlign w:val="center"/>
            <w:shd w:fill="F2F6FA"/>
          </w:tcPr>
          <w:p>
            <w:pPr>
              <w:spacing w:after="40"/>
            </w:pPr>
            <w:r/>
            <w:r>
              <w:rPr>
                <w:b w:val="0"/>
                <w:sz w:val="17"/>
              </w:rPr>
              <w:t>Categorical</w:t>
            </w:r>
          </w:p>
        </w:tc>
        <w:tc>
          <w:tcPr>
            <w:tcW w:type="dxa" w:w="2484"/>
            <w:vAlign w:val="center"/>
            <w:shd w:fill="F2F6FA"/>
          </w:tcPr>
          <w:p>
            <w:pPr>
              <w:spacing w:after="40"/>
            </w:pPr>
            <w:r/>
            <w:r>
              <w:rPr>
                <w:b w:val="0"/>
                <w:sz w:val="17"/>
              </w:rPr>
              <w:t>Different plans may have different retention patterns.</w:t>
            </w:r>
          </w:p>
        </w:tc>
        <w:tc>
          <w:tcPr>
            <w:tcW w:type="dxa" w:w="2484"/>
            <w:vAlign w:val="center"/>
            <w:shd w:fill="F2F6FA"/>
          </w:tcPr>
          <w:p>
            <w:pPr>
              <w:spacing w:after="40"/>
            </w:pPr>
            <w:r/>
            <w:r>
              <w:rPr>
                <w:b w:val="0"/>
                <w:sz w:val="17"/>
              </w:rPr>
              <w:t>Standardise labels; identify rare categories.</w:t>
            </w:r>
          </w:p>
        </w:tc>
      </w:tr>
      <w:tr>
        <w:tc>
          <w:tcPr>
            <w:tcW w:type="dxa" w:w="2484"/>
            <w:vAlign w:val="center"/>
          </w:tcPr>
          <w:p>
            <w:pPr>
              <w:spacing w:after="40"/>
            </w:pPr>
            <w:r/>
            <w:r>
              <w:rPr>
                <w:b w:val="0"/>
                <w:sz w:val="17"/>
              </w:rPr>
              <w:t>Usage in last 30 days</w:t>
            </w:r>
          </w:p>
        </w:tc>
        <w:tc>
          <w:tcPr>
            <w:tcW w:type="dxa" w:w="2484"/>
            <w:vAlign w:val="center"/>
          </w:tcPr>
          <w:p>
            <w:pPr>
              <w:spacing w:after="40"/>
            </w:pPr>
            <w:r/>
            <w:r>
              <w:rPr>
                <w:b w:val="0"/>
                <w:sz w:val="17"/>
              </w:rPr>
              <w:t>Numeric</w:t>
            </w:r>
          </w:p>
        </w:tc>
        <w:tc>
          <w:tcPr>
            <w:tcW w:type="dxa" w:w="2484"/>
            <w:vAlign w:val="center"/>
          </w:tcPr>
          <w:p>
            <w:pPr>
              <w:spacing w:after="40"/>
            </w:pPr>
            <w:r/>
            <w:r>
              <w:rPr>
                <w:b w:val="0"/>
                <w:sz w:val="17"/>
              </w:rPr>
              <w:t>Declining activity may be a risk signal.</w:t>
            </w:r>
          </w:p>
        </w:tc>
        <w:tc>
          <w:tcPr>
            <w:tcW w:type="dxa" w:w="2484"/>
            <w:vAlign w:val="center"/>
          </w:tcPr>
          <w:p>
            <w:pPr>
              <w:spacing w:after="40"/>
            </w:pPr>
            <w:r/>
            <w:r>
              <w:rPr>
                <w:b w:val="0"/>
                <w:sz w:val="17"/>
              </w:rPr>
              <w:t>Check missing periods and extreme values.</w:t>
            </w:r>
          </w:p>
        </w:tc>
      </w:tr>
      <w:tr>
        <w:tc>
          <w:tcPr>
            <w:tcW w:type="dxa" w:w="2484"/>
            <w:vAlign w:val="center"/>
            <w:shd w:fill="F2F6FA"/>
          </w:tcPr>
          <w:p>
            <w:pPr>
              <w:spacing w:after="40"/>
            </w:pPr>
            <w:r/>
            <w:r>
              <w:rPr>
                <w:b w:val="0"/>
                <w:sz w:val="17"/>
              </w:rPr>
              <w:t>Support contacts in last 30 days</w:t>
            </w:r>
          </w:p>
        </w:tc>
        <w:tc>
          <w:tcPr>
            <w:tcW w:type="dxa" w:w="2484"/>
            <w:vAlign w:val="center"/>
            <w:shd w:fill="F2F6FA"/>
          </w:tcPr>
          <w:p>
            <w:pPr>
              <w:spacing w:after="40"/>
            </w:pPr>
            <w:r/>
            <w:r>
              <w:rPr>
                <w:b w:val="0"/>
                <w:sz w:val="17"/>
              </w:rPr>
              <w:t>Numeric</w:t>
            </w:r>
          </w:p>
        </w:tc>
        <w:tc>
          <w:tcPr>
            <w:tcW w:type="dxa" w:w="2484"/>
            <w:vAlign w:val="center"/>
            <w:shd w:fill="F2F6FA"/>
          </w:tcPr>
          <w:p>
            <w:pPr>
              <w:spacing w:after="40"/>
            </w:pPr>
            <w:r/>
            <w:r>
              <w:rPr>
                <w:b w:val="0"/>
                <w:sz w:val="17"/>
              </w:rPr>
              <w:t>Repeated issues may indicate dissatisfaction.</w:t>
            </w:r>
          </w:p>
        </w:tc>
        <w:tc>
          <w:tcPr>
            <w:tcW w:type="dxa" w:w="2484"/>
            <w:vAlign w:val="center"/>
            <w:shd w:fill="F2F6FA"/>
          </w:tcPr>
          <w:p>
            <w:pPr>
              <w:spacing w:after="40"/>
            </w:pPr>
            <w:r/>
            <w:r>
              <w:rPr>
                <w:b w:val="0"/>
                <w:sz w:val="17"/>
              </w:rPr>
              <w:t>Remove duplicates; define contact counting rules.</w:t>
            </w:r>
          </w:p>
        </w:tc>
      </w:tr>
      <w:tr>
        <w:tc>
          <w:tcPr>
            <w:tcW w:type="dxa" w:w="2484"/>
            <w:vAlign w:val="center"/>
          </w:tcPr>
          <w:p>
            <w:pPr>
              <w:spacing w:after="40"/>
            </w:pPr>
            <w:r/>
            <w:r>
              <w:rPr>
                <w:b w:val="0"/>
                <w:sz w:val="17"/>
              </w:rPr>
              <w:t>Payment failures in last 90 days</w:t>
            </w:r>
          </w:p>
        </w:tc>
        <w:tc>
          <w:tcPr>
            <w:tcW w:type="dxa" w:w="2484"/>
            <w:vAlign w:val="center"/>
          </w:tcPr>
          <w:p>
            <w:pPr>
              <w:spacing w:after="40"/>
            </w:pPr>
            <w:r/>
            <w:r>
              <w:rPr>
                <w:b w:val="0"/>
                <w:sz w:val="17"/>
              </w:rPr>
              <w:t>Numeric</w:t>
            </w:r>
          </w:p>
        </w:tc>
        <w:tc>
          <w:tcPr>
            <w:tcW w:type="dxa" w:w="2484"/>
            <w:vAlign w:val="center"/>
          </w:tcPr>
          <w:p>
            <w:pPr>
              <w:spacing w:after="40"/>
            </w:pPr>
            <w:r/>
            <w:r>
              <w:rPr>
                <w:b w:val="0"/>
                <w:sz w:val="17"/>
              </w:rPr>
              <w:t>Billing friction may be associated with cancellation.</w:t>
            </w:r>
          </w:p>
        </w:tc>
        <w:tc>
          <w:tcPr>
            <w:tcW w:type="dxa" w:w="2484"/>
            <w:vAlign w:val="center"/>
          </w:tcPr>
          <w:p>
            <w:pPr>
              <w:spacing w:after="40"/>
            </w:pPr>
            <w:r/>
            <w:r>
              <w:rPr>
                <w:b w:val="0"/>
                <w:sz w:val="17"/>
              </w:rPr>
              <w:t>Check timestamps and event duplication.</w:t>
            </w:r>
          </w:p>
        </w:tc>
      </w:tr>
      <w:tr>
        <w:tc>
          <w:tcPr>
            <w:tcW w:type="dxa" w:w="2484"/>
            <w:vAlign w:val="center"/>
            <w:shd w:fill="F2F6FA"/>
          </w:tcPr>
          <w:p>
            <w:pPr>
              <w:spacing w:after="40"/>
            </w:pPr>
            <w:r/>
            <w:r>
              <w:rPr>
                <w:b w:val="0"/>
                <w:sz w:val="17"/>
              </w:rPr>
              <w:t>Churn within next 30 days</w:t>
            </w:r>
          </w:p>
        </w:tc>
        <w:tc>
          <w:tcPr>
            <w:tcW w:type="dxa" w:w="2484"/>
            <w:vAlign w:val="center"/>
            <w:shd w:fill="F2F6FA"/>
          </w:tcPr>
          <w:p>
            <w:pPr>
              <w:spacing w:after="40"/>
            </w:pPr>
            <w:r/>
            <w:r>
              <w:rPr>
                <w:b w:val="0"/>
                <w:sz w:val="17"/>
              </w:rPr>
              <w:t>Binary target</w:t>
            </w:r>
          </w:p>
        </w:tc>
        <w:tc>
          <w:tcPr>
            <w:tcW w:type="dxa" w:w="2484"/>
            <w:vAlign w:val="center"/>
            <w:shd w:fill="F2F6FA"/>
          </w:tcPr>
          <w:p>
            <w:pPr>
              <w:spacing w:after="40"/>
            </w:pPr>
            <w:r/>
            <w:r>
              <w:rPr>
                <w:b w:val="0"/>
                <w:sz w:val="17"/>
              </w:rPr>
              <w:t>Outcome to predict.</w:t>
            </w:r>
          </w:p>
        </w:tc>
        <w:tc>
          <w:tcPr>
            <w:tcW w:type="dxa" w:w="2484"/>
            <w:vAlign w:val="center"/>
            <w:shd w:fill="F2F6FA"/>
          </w:tcPr>
          <w:p>
            <w:pPr>
              <w:spacing w:after="40"/>
            </w:pPr>
            <w:r/>
            <w:r>
              <w:rPr>
                <w:b w:val="0"/>
                <w:sz w:val="17"/>
              </w:rPr>
              <w:t>Define consistently; prevent target leakage.</w:t>
            </w:r>
          </w:p>
        </w:tc>
      </w:tr>
    </w:tbl>
    <w:p>
      <w:pPr>
        <w:spacing w:after="20"/>
      </w:pPr>
    </w:p>
    <w:p>
      <w:pPr>
        <w:pStyle w:val="Heading2"/>
      </w:pPr>
      <w:r>
        <w:t>3.1 Initial exploratory analysis</w:t>
      </w:r>
    </w:p>
    <w:p>
      <w:pPr>
        <w:pStyle w:val="ListNumber"/>
        <w:spacing w:after="60"/>
      </w:pPr>
      <w:r>
        <w:t>Confirm row count, number of unique customers, date coverage, duplicate records, column types, and target definition.</w:t>
      </w:r>
    </w:p>
    <w:p>
      <w:pPr>
        <w:pStyle w:val="ListNumber"/>
        <w:spacing w:after="60"/>
      </w:pPr>
      <w:r>
        <w:t>Summarise numeric variables with mean, median, standard deviation, percentiles, and range.</w:t>
      </w:r>
    </w:p>
    <w:p>
      <w:pPr>
        <w:pStyle w:val="ListNumber"/>
        <w:spacing w:after="60"/>
      </w:pPr>
      <w:r>
        <w:t>Inspect category frequencies, missing-value percentages, and unexpected labels.</w:t>
      </w:r>
    </w:p>
    <w:p>
      <w:pPr>
        <w:pStyle w:val="ListNumber"/>
        <w:spacing w:after="60"/>
      </w:pPr>
      <w:r>
        <w:t>Plot target balance, feature distributions, trends over time, and relationships between features and churn.</w:t>
      </w:r>
    </w:p>
    <w:p>
      <w:pPr>
        <w:pStyle w:val="ListNumber"/>
        <w:spacing w:after="60"/>
      </w:pPr>
      <w:r>
        <w:t>Check whether the dataset reflects the population where the model will be used and identify sampling bias.</w:t>
      </w:r>
    </w:p>
    <w:p>
      <w:pPr>
        <w:pStyle w:val="Heading2"/>
      </w:pPr>
      <w:r>
        <w:t>3.2 Data privacy and governance</w:t>
      </w:r>
    </w:p>
    <w:p>
      <w:r>
        <w:t>Use only data that is necessary, authorised, and proportionate to the stated purpose. Exclude direct identifiers such as names, phone numbers, and email addresses from model features. Restrict access, document retention rules, protect files in storage and transit, and review whether any feature could act as an inappropriate proxy for a sensitive attribute. Apply applicable privacy and organisational policies before collecting or using customer data.</w:t>
      </w:r>
    </w:p>
    <w:p>
      <w:pPr>
        <w:pStyle w:val="Heading1"/>
      </w:pPr>
      <w:r>
        <w:t>4. End-to-End Machine Learning Workflow</w:t>
      </w:r>
    </w:p>
    <w:p>
      <w:r>
        <w:t>The following flowchart summarises the proposed lifecycle.</w:t>
      </w:r>
    </w:p>
    <w:tbl>
      <w:tblPr>
        <w:tblStyle w:val="TableGrid"/>
        <w:tblW w:type="auto" w:w="0"/>
        <w:jc w:val="center"/>
        <w:tblLook w:firstColumn="1" w:firstRow="1" w:lastColumn="0" w:lastRow="0" w:noHBand="0" w:noVBand="1" w:val="04A0"/>
      </w:tblPr>
      <w:tblGrid>
        <w:gridCol w:w="9936"/>
      </w:tblGrid>
      <w:tr>
        <w:tc>
          <w:tcPr>
            <w:tcW w:type="dxa" w:w="9936"/>
            <w:vAlign w:val="center"/>
            <w:shd w:fill="D9EAF7"/>
          </w:tcPr>
          <w:p>
            <w:pPr>
              <w:spacing w:after="40"/>
            </w:pPr>
            <w:r/>
            <w:r>
              <w:rPr>
                <w:b/>
                <w:color w:val="17365D"/>
                <w:sz w:val="18"/>
              </w:rPr>
              <w:t>Business problem and target definition</w:t>
            </w:r>
          </w:p>
        </w:tc>
      </w:tr>
      <w:tr>
        <w:tc>
          <w:tcPr>
            <w:tcW w:type="dxa" w:w="9936"/>
            <w:vAlign w:val="center"/>
            <w:shd w:fill="FFFFFF"/>
          </w:tcPr>
          <w:p>
            <w:pPr>
              <w:spacing w:after="40"/>
            </w:pPr>
            <w:r/>
            <w:r>
              <w:rPr>
                <w:b w:val="0"/>
                <w:sz w:val="18"/>
              </w:rPr>
              <w:t>Data collection, permissions and data dictionary</w:t>
            </w:r>
          </w:p>
        </w:tc>
      </w:tr>
      <w:tr>
        <w:tc>
          <w:tcPr>
            <w:tcW w:type="dxa" w:w="9936"/>
            <w:vAlign w:val="center"/>
            <w:shd w:fill="F2F6FA"/>
          </w:tcPr>
          <w:p>
            <w:pPr>
              <w:spacing w:after="40"/>
            </w:pPr>
            <w:r/>
            <w:r>
              <w:rPr>
                <w:b w:val="0"/>
                <w:sz w:val="18"/>
              </w:rPr>
              <w:t>Data audit and exploratory data analysis</w:t>
            </w:r>
          </w:p>
        </w:tc>
      </w:tr>
      <w:tr>
        <w:tc>
          <w:tcPr>
            <w:tcW w:type="dxa" w:w="9936"/>
            <w:vAlign w:val="center"/>
            <w:shd w:fill="FFFFFF"/>
          </w:tcPr>
          <w:p>
            <w:pPr>
              <w:spacing w:after="40"/>
            </w:pPr>
            <w:r/>
            <w:r>
              <w:rPr>
                <w:b w:val="0"/>
                <w:sz w:val="18"/>
              </w:rPr>
              <w:t>Split data into train / validation / test sets</w:t>
            </w:r>
          </w:p>
        </w:tc>
      </w:tr>
      <w:tr>
        <w:tc>
          <w:tcPr>
            <w:tcW w:type="dxa" w:w="9936"/>
            <w:vAlign w:val="center"/>
            <w:shd w:fill="F2F6FA"/>
          </w:tcPr>
          <w:p>
            <w:pPr>
              <w:spacing w:after="40"/>
            </w:pPr>
            <w:r/>
            <w:r>
              <w:rPr>
                <w:b w:val="0"/>
                <w:sz w:val="18"/>
              </w:rPr>
              <w:t>Preprocessing and feature engineering (fit on training data only)</w:t>
            </w:r>
          </w:p>
        </w:tc>
      </w:tr>
      <w:tr>
        <w:tc>
          <w:tcPr>
            <w:tcW w:type="dxa" w:w="9936"/>
            <w:vAlign w:val="center"/>
            <w:shd w:fill="FFFFFF"/>
          </w:tcPr>
          <w:p>
            <w:pPr>
              <w:spacing w:after="40"/>
            </w:pPr>
            <w:r/>
            <w:r>
              <w:rPr>
                <w:b w:val="0"/>
                <w:sz w:val="18"/>
              </w:rPr>
              <w:t>Train baseline and candidate models</w:t>
            </w:r>
          </w:p>
        </w:tc>
      </w:tr>
      <w:tr>
        <w:tc>
          <w:tcPr>
            <w:tcW w:type="dxa" w:w="9936"/>
            <w:vAlign w:val="center"/>
            <w:shd w:fill="F2F6FA"/>
          </w:tcPr>
          <w:p>
            <w:pPr>
              <w:spacing w:after="40"/>
            </w:pPr>
            <w:r/>
            <w:r>
              <w:rPr>
                <w:b w:val="0"/>
                <w:sz w:val="18"/>
              </w:rPr>
              <w:t>Cross-validation and hyperparameter tuning</w:t>
            </w:r>
          </w:p>
        </w:tc>
      </w:tr>
      <w:tr>
        <w:tc>
          <w:tcPr>
            <w:tcW w:type="dxa" w:w="9936"/>
            <w:vAlign w:val="center"/>
            <w:shd w:fill="D9EAF7"/>
          </w:tcPr>
          <w:p>
            <w:pPr>
              <w:spacing w:after="40"/>
            </w:pPr>
            <w:r/>
            <w:r>
              <w:rPr>
                <w:b/>
                <w:color w:val="17365D"/>
                <w:sz w:val="18"/>
              </w:rPr>
              <w:t>Evaluate once on the untouched test set</w:t>
            </w:r>
          </w:p>
        </w:tc>
      </w:tr>
      <w:tr>
        <w:tc>
          <w:tcPr>
            <w:tcW w:type="dxa" w:w="9936"/>
            <w:vAlign w:val="center"/>
            <w:shd w:fill="F2F6FA"/>
          </w:tcPr>
          <w:p>
            <w:pPr>
              <w:spacing w:after="40"/>
            </w:pPr>
            <w:r/>
            <w:r>
              <w:rPr>
                <w:b w:val="0"/>
                <w:sz w:val="18"/>
              </w:rPr>
              <w:t>Review errors, fairness, calibration and business usefulness</w:t>
            </w:r>
          </w:p>
        </w:tc>
      </w:tr>
      <w:tr>
        <w:tc>
          <w:tcPr>
            <w:tcW w:type="dxa" w:w="9936"/>
            <w:vAlign w:val="center"/>
            <w:shd w:fill="D9EAF7"/>
          </w:tcPr>
          <w:p>
            <w:pPr>
              <w:spacing w:after="40"/>
            </w:pPr>
            <w:r/>
            <w:r>
              <w:rPr>
                <w:b/>
                <w:color w:val="17365D"/>
                <w:sz w:val="18"/>
              </w:rPr>
              <w:t>Approve for pilot deployment or return to earlier steps</w:t>
            </w:r>
          </w:p>
        </w:tc>
      </w:tr>
      <w:tr>
        <w:tc>
          <w:tcPr>
            <w:tcW w:type="dxa" w:w="9936"/>
            <w:vAlign w:val="center"/>
            <w:shd w:fill="D9EAF7"/>
          </w:tcPr>
          <w:p>
            <w:pPr>
              <w:spacing w:after="40"/>
            </w:pPr>
            <w:r/>
            <w:r>
              <w:rPr>
                <w:b/>
                <w:color w:val="17365D"/>
                <w:sz w:val="18"/>
              </w:rPr>
              <w:t>Monitor drift, performance and outcomes; retrain when justified</w:t>
            </w:r>
          </w:p>
        </w:tc>
      </w:tr>
    </w:tbl>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pPr>
        <w:spacing w:after="20" w:before="0"/>
        <w:jc w:val="center"/>
      </w:pPr>
      <w:r>
        <w:rPr>
          <w:b/>
          <w:color w:val="4472C4"/>
          <w:sz w:val="24"/>
        </w:rPr>
        <w:t>↓</w:t>
      </w:r>
    </w:p>
    <w:p>
      <w:r>
        <w:t>Important control: all data-dependent transformations, feature selection, resampling, and hyperparameter selection must be performed using training data only within each validation fold. The test set is reserved for a final, unbiased estimate of performance.</w:t>
      </w:r>
    </w:p>
    <w:p>
      <w:pPr>
        <w:pStyle w:val="Heading1"/>
      </w:pPr>
      <w:r>
        <w:t>5. Data Preprocessing Plan</w:t>
      </w:r>
    </w:p>
    <w:p>
      <w:pPr>
        <w:pStyle w:val="Heading2"/>
      </w:pPr>
      <w:r>
        <w:t>5.1 Data cleaning</w:t>
      </w:r>
    </w:p>
    <w:p>
      <w:pPr>
        <w:pStyle w:val="ListBullet"/>
        <w:spacing w:after="40"/>
      </w:pPr>
      <w:r>
        <w:t>Remove exact duplicate rows and investigate repeated customer-date records rather than deleting them blindly.</w:t>
      </w:r>
    </w:p>
    <w:p>
      <w:pPr>
        <w:pStyle w:val="ListBullet"/>
        <w:spacing w:after="40"/>
      </w:pPr>
      <w:r>
        <w:t>Correct data types, standardise dates and category labels, and verify units and currency conventions.</w:t>
      </w:r>
    </w:p>
    <w:p>
      <w:pPr>
        <w:pStyle w:val="ListBullet"/>
        <w:spacing w:after="40"/>
      </w:pPr>
      <w:r>
        <w:t>Investigate impossible values (for example, negative tenure) and distinguish true extremes from data-entry errors.</w:t>
      </w:r>
    </w:p>
    <w:p>
      <w:pPr>
        <w:pStyle w:val="ListBullet"/>
        <w:spacing w:after="40"/>
      </w:pPr>
      <w:r>
        <w:t>Handle missing values using training-fold statistics: median for suitable numeric features and most-frequent or explicit 'Unknown' categories for categorical features.</w:t>
      </w:r>
    </w:p>
    <w:p>
      <w:pPr>
        <w:pStyle w:val="ListBullet"/>
        <w:spacing w:after="40"/>
      </w:pPr>
      <w:r>
        <w:t>Document every correction and retain a reproducible record of exclusions.</w:t>
      </w:r>
    </w:p>
    <w:p>
      <w:pPr>
        <w:pStyle w:val="Heading2"/>
      </w:pPr>
      <w:r>
        <w:t>5.2 Encoding and scaling</w:t>
      </w:r>
    </w:p>
    <w:p>
      <w:pPr>
        <w:pStyle w:val="ListBullet"/>
        <w:spacing w:after="40"/>
      </w:pPr>
      <w:r>
        <w:t>Use one-hot encoding for nominal categories such as plan type; use ordinal encoding only where a meaningful order exists.</w:t>
      </w:r>
    </w:p>
    <w:p>
      <w:pPr>
        <w:pStyle w:val="ListBullet"/>
        <w:spacing w:after="40"/>
      </w:pPr>
      <w:r>
        <w:t>Standardise numeric features for Logistic Regression if needed. Tree-based models generally do not require feature scaling.</w:t>
      </w:r>
    </w:p>
    <w:p>
      <w:pPr>
        <w:pStyle w:val="ListBullet"/>
        <w:spacing w:after="40"/>
      </w:pPr>
      <w:r>
        <w:t>Use a scikit-learn Pipeline and ColumnTransformer so preprocessing is fitted consistently and applied identically during validation and deployment.</w:t>
      </w:r>
    </w:p>
    <w:p>
      <w:pPr>
        <w:pStyle w:val="Heading2"/>
      </w:pPr>
      <w:r>
        <w:t>5.3 Feature engineering</w:t>
      </w:r>
    </w:p>
    <w:p>
      <w:pPr>
        <w:pStyle w:val="ListBullet"/>
        <w:spacing w:after="40"/>
      </w:pPr>
      <w:r>
        <w:t>Create interpretable features such as usage change compared with the previous month, support contacts per active month, and payment-failure counts in fixed windows.</w:t>
      </w:r>
    </w:p>
    <w:p>
      <w:pPr>
        <w:pStyle w:val="ListBullet"/>
        <w:spacing w:after="40"/>
      </w:pPr>
      <w:r>
        <w:t>Aggregate event-level data into a consistent customer snapshot using only events before the prediction date.</w:t>
      </w:r>
    </w:p>
    <w:p>
      <w:pPr>
        <w:pStyle w:val="ListBullet"/>
        <w:spacing w:after="40"/>
      </w:pPr>
      <w:r>
        <w:t>Derive tenure and recency from validated timestamps, and consider time-of-year effects where operationally justified.</w:t>
      </w:r>
    </w:p>
    <w:p>
      <w:pPr>
        <w:pStyle w:val="ListBullet"/>
        <w:spacing w:after="40"/>
      </w:pPr>
      <w:r>
        <w:t>Avoid features recorded after cancellation or created as a direct consequence of the target event.</w:t>
      </w:r>
    </w:p>
    <w:p>
      <w:pPr>
        <w:pStyle w:val="Heading2"/>
      </w:pPr>
      <w:r>
        <w:t>5.4 Feature selection</w:t>
      </w:r>
    </w:p>
    <w:p>
      <w:pPr>
        <w:pStyle w:val="ListBullet"/>
        <w:spacing w:after="40"/>
      </w:pPr>
      <w:r>
        <w:t>Start with domain-informed features and remove identifiers, duplicate columns, constant fields, and features unavailable at prediction time.</w:t>
      </w:r>
    </w:p>
    <w:p>
      <w:pPr>
        <w:pStyle w:val="ListBullet"/>
        <w:spacing w:after="40"/>
      </w:pPr>
      <w:r>
        <w:t>Review correlations and multicollinearity for linear models; use permutation importance or model-based importance as supporting evidence, not as proof of causation.</w:t>
      </w:r>
    </w:p>
    <w:p>
      <w:pPr>
        <w:pStyle w:val="ListBullet"/>
        <w:spacing w:after="40"/>
      </w:pPr>
      <w:r>
        <w:t>Prefer a smaller, stable, understandable feature set when predictive performance is comparable.</w:t>
      </w:r>
    </w:p>
    <w:p>
      <w:pPr>
        <w:pStyle w:val="Heading2"/>
      </w:pPr>
      <w:r>
        <w:t>5.5 Challenges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8"/>
              </w:rPr>
              <w:t>Challenge</w:t>
            </w:r>
          </w:p>
        </w:tc>
        <w:tc>
          <w:tcPr>
            <w:tcW w:type="dxa" w:w="3312"/>
            <w:vAlign w:val="center"/>
            <w:shd w:fill="17365D"/>
          </w:tcPr>
          <w:p>
            <w:pPr>
              <w:spacing w:after="40"/>
            </w:pPr>
            <w:r/>
            <w:r>
              <w:rPr>
                <w:b/>
                <w:color w:val="FFFFFF"/>
                <w:sz w:val="18"/>
              </w:rPr>
              <w:t>Potential impact</w:t>
            </w:r>
          </w:p>
        </w:tc>
        <w:tc>
          <w:tcPr>
            <w:tcW w:type="dxa" w:w="3312"/>
            <w:vAlign w:val="center"/>
            <w:shd w:fill="17365D"/>
          </w:tcPr>
          <w:p>
            <w:pPr>
              <w:spacing w:after="40"/>
            </w:pPr>
            <w:r/>
            <w:r>
              <w:rPr>
                <w:b/>
                <w:color w:val="FFFFFF"/>
                <w:sz w:val="18"/>
              </w:rPr>
              <w:t>Planned solution</w:t>
            </w:r>
          </w:p>
        </w:tc>
      </w:tr>
      <w:tr>
        <w:tc>
          <w:tcPr>
            <w:tcW w:type="dxa" w:w="3312"/>
            <w:vAlign w:val="center"/>
            <w:shd w:fill="F2F6FA"/>
          </w:tcPr>
          <w:p>
            <w:pPr>
              <w:spacing w:after="40"/>
            </w:pPr>
            <w:r/>
            <w:r>
              <w:rPr>
                <w:b w:val="0"/>
                <w:sz w:val="17"/>
              </w:rPr>
              <w:t>Missing or inconsistent data</w:t>
            </w:r>
          </w:p>
        </w:tc>
        <w:tc>
          <w:tcPr>
            <w:tcW w:type="dxa" w:w="3312"/>
            <w:vAlign w:val="center"/>
            <w:shd w:fill="F2F6FA"/>
          </w:tcPr>
          <w:p>
            <w:pPr>
              <w:spacing w:after="40"/>
            </w:pPr>
            <w:r/>
            <w:r>
              <w:rPr>
                <w:b w:val="0"/>
                <w:sz w:val="17"/>
              </w:rPr>
              <w:t>Biased estimates or failed predictions</w:t>
            </w:r>
          </w:p>
        </w:tc>
        <w:tc>
          <w:tcPr>
            <w:tcW w:type="dxa" w:w="3312"/>
            <w:vAlign w:val="center"/>
            <w:shd w:fill="F2F6FA"/>
          </w:tcPr>
          <w:p>
            <w:pPr>
              <w:spacing w:after="40"/>
            </w:pPr>
            <w:r/>
            <w:r>
              <w:rPr>
                <w:b w:val="0"/>
                <w:sz w:val="17"/>
              </w:rPr>
              <w:t>Profile missingness, standardise definitions, impute within folds, and monitor missingness after launch.</w:t>
            </w:r>
          </w:p>
        </w:tc>
      </w:tr>
      <w:tr>
        <w:tc>
          <w:tcPr>
            <w:tcW w:type="dxa" w:w="3312"/>
            <w:vAlign w:val="center"/>
          </w:tcPr>
          <w:p>
            <w:pPr>
              <w:spacing w:after="40"/>
            </w:pPr>
            <w:r/>
            <w:r>
              <w:rPr>
                <w:b w:val="0"/>
                <w:sz w:val="17"/>
              </w:rPr>
              <w:t>Class imbalance</w:t>
            </w:r>
          </w:p>
        </w:tc>
        <w:tc>
          <w:tcPr>
            <w:tcW w:type="dxa" w:w="3312"/>
            <w:vAlign w:val="center"/>
          </w:tcPr>
          <w:p>
            <w:pPr>
              <w:spacing w:after="40"/>
            </w:pPr>
            <w:r/>
            <w:r>
              <w:rPr>
                <w:b w:val="0"/>
                <w:sz w:val="17"/>
              </w:rPr>
              <w:t>Model predicts the majority class too often</w:t>
            </w:r>
          </w:p>
        </w:tc>
        <w:tc>
          <w:tcPr>
            <w:tcW w:type="dxa" w:w="3312"/>
            <w:vAlign w:val="center"/>
          </w:tcPr>
          <w:p>
            <w:pPr>
              <w:spacing w:after="40"/>
            </w:pPr>
            <w:r/>
            <w:r>
              <w:rPr>
                <w:b w:val="0"/>
                <w:sz w:val="17"/>
              </w:rPr>
              <w:t>Use class weights, precision-recall analysis, and threshold tuning; consider resampling inside training folds only.</w:t>
            </w:r>
          </w:p>
        </w:tc>
      </w:tr>
      <w:tr>
        <w:tc>
          <w:tcPr>
            <w:tcW w:type="dxa" w:w="3312"/>
            <w:vAlign w:val="center"/>
            <w:shd w:fill="F2F6FA"/>
          </w:tcPr>
          <w:p>
            <w:pPr>
              <w:spacing w:after="40"/>
            </w:pPr>
            <w:r/>
            <w:r>
              <w:rPr>
                <w:b w:val="0"/>
                <w:sz w:val="17"/>
              </w:rPr>
              <w:t>Target leakage</w:t>
            </w:r>
          </w:p>
        </w:tc>
        <w:tc>
          <w:tcPr>
            <w:tcW w:type="dxa" w:w="3312"/>
            <w:vAlign w:val="center"/>
            <w:shd w:fill="F2F6FA"/>
          </w:tcPr>
          <w:p>
            <w:pPr>
              <w:spacing w:after="40"/>
            </w:pPr>
            <w:r/>
            <w:r>
              <w:rPr>
                <w:b w:val="0"/>
                <w:sz w:val="17"/>
              </w:rPr>
              <w:t>Unrealistically high offline scores</w:t>
            </w:r>
          </w:p>
        </w:tc>
        <w:tc>
          <w:tcPr>
            <w:tcW w:type="dxa" w:w="3312"/>
            <w:vAlign w:val="center"/>
            <w:shd w:fill="F2F6FA"/>
          </w:tcPr>
          <w:p>
            <w:pPr>
              <w:spacing w:after="40"/>
            </w:pPr>
            <w:r/>
            <w:r>
              <w:rPr>
                <w:b w:val="0"/>
                <w:sz w:val="17"/>
              </w:rPr>
              <w:t>Define prediction timestamps, audit features, and keep the test set untouched.</w:t>
            </w:r>
          </w:p>
        </w:tc>
      </w:tr>
      <w:tr>
        <w:tc>
          <w:tcPr>
            <w:tcW w:type="dxa" w:w="3312"/>
            <w:vAlign w:val="center"/>
          </w:tcPr>
          <w:p>
            <w:pPr>
              <w:spacing w:after="40"/>
            </w:pPr>
            <w:r/>
            <w:r>
              <w:rPr>
                <w:b w:val="0"/>
                <w:sz w:val="17"/>
              </w:rPr>
              <w:t>Rare categories / new values</w:t>
            </w:r>
          </w:p>
        </w:tc>
        <w:tc>
          <w:tcPr>
            <w:tcW w:type="dxa" w:w="3312"/>
            <w:vAlign w:val="center"/>
          </w:tcPr>
          <w:p>
            <w:pPr>
              <w:spacing w:after="40"/>
            </w:pPr>
            <w:r/>
            <w:r>
              <w:rPr>
                <w:b w:val="0"/>
                <w:sz w:val="17"/>
              </w:rPr>
              <w:t>Unseen categories at inference</w:t>
            </w:r>
          </w:p>
        </w:tc>
        <w:tc>
          <w:tcPr>
            <w:tcW w:type="dxa" w:w="3312"/>
            <w:vAlign w:val="center"/>
          </w:tcPr>
          <w:p>
            <w:pPr>
              <w:spacing w:after="40"/>
            </w:pPr>
            <w:r/>
            <w:r>
              <w:rPr>
                <w:b w:val="0"/>
                <w:sz w:val="17"/>
              </w:rPr>
              <w:t>Use robust encoders with unknown-category handling and monitor new-category rates.</w:t>
            </w:r>
          </w:p>
        </w:tc>
      </w:tr>
      <w:tr>
        <w:tc>
          <w:tcPr>
            <w:tcW w:type="dxa" w:w="3312"/>
            <w:vAlign w:val="center"/>
            <w:shd w:fill="F2F6FA"/>
          </w:tcPr>
          <w:p>
            <w:pPr>
              <w:spacing w:after="40"/>
            </w:pPr>
            <w:r/>
            <w:r>
              <w:rPr>
                <w:b w:val="0"/>
                <w:sz w:val="17"/>
              </w:rPr>
              <w:t>Changing customer behaviour</w:t>
            </w:r>
          </w:p>
        </w:tc>
        <w:tc>
          <w:tcPr>
            <w:tcW w:type="dxa" w:w="3312"/>
            <w:vAlign w:val="center"/>
            <w:shd w:fill="F2F6FA"/>
          </w:tcPr>
          <w:p>
            <w:pPr>
              <w:spacing w:after="40"/>
            </w:pPr>
            <w:r/>
            <w:r>
              <w:rPr>
                <w:b w:val="0"/>
                <w:sz w:val="17"/>
              </w:rPr>
              <w:t>Performance deteriorates over time</w:t>
            </w:r>
          </w:p>
        </w:tc>
        <w:tc>
          <w:tcPr>
            <w:tcW w:type="dxa" w:w="3312"/>
            <w:vAlign w:val="center"/>
            <w:shd w:fill="F2F6FA"/>
          </w:tcPr>
          <w:p>
            <w:pPr>
              <w:spacing w:after="40"/>
            </w:pPr>
            <w:r/>
            <w:r>
              <w:rPr>
                <w:b w:val="0"/>
                <w:sz w:val="17"/>
              </w:rPr>
              <w:t>Use temporal validation and monitor drift and delayed outcome labels.</w:t>
            </w:r>
          </w:p>
        </w:tc>
      </w:tr>
      <w:tr>
        <w:tc>
          <w:tcPr>
            <w:tcW w:type="dxa" w:w="3312"/>
            <w:vAlign w:val="center"/>
          </w:tcPr>
          <w:p>
            <w:pPr>
              <w:spacing w:after="40"/>
            </w:pPr>
            <w:r/>
            <w:r>
              <w:rPr>
                <w:b w:val="0"/>
                <w:sz w:val="17"/>
              </w:rPr>
              <w:t>Biased historical labels</w:t>
            </w:r>
          </w:p>
        </w:tc>
        <w:tc>
          <w:tcPr>
            <w:tcW w:type="dxa" w:w="3312"/>
            <w:vAlign w:val="center"/>
          </w:tcPr>
          <w:p>
            <w:pPr>
              <w:spacing w:after="40"/>
            </w:pPr>
            <w:r/>
            <w:r>
              <w:rPr>
                <w:b w:val="0"/>
                <w:sz w:val="17"/>
              </w:rPr>
              <w:t>Unequal error rates or unfair decisions</w:t>
            </w:r>
          </w:p>
        </w:tc>
        <w:tc>
          <w:tcPr>
            <w:tcW w:type="dxa" w:w="3312"/>
            <w:vAlign w:val="center"/>
          </w:tcPr>
          <w:p>
            <w:pPr>
              <w:spacing w:after="40"/>
            </w:pPr>
            <w:r/>
            <w:r>
              <w:rPr>
                <w:b w:val="0"/>
                <w:sz w:val="17"/>
              </w:rPr>
              <w:t>Review data coverage, evaluate appropriate group-level metrics where lawful, and involve domain stakeholders.</w:t>
            </w:r>
          </w:p>
        </w:tc>
      </w:tr>
    </w:tbl>
    <w:p>
      <w:pPr>
        <w:spacing w:after="20"/>
      </w:pPr>
    </w:p>
    <w:p>
      <w:pPr>
        <w:pStyle w:val="Heading1"/>
      </w:pPr>
      <w:r>
        <w:t>6. Train, Validation and Test Strategy</w:t>
      </w:r>
    </w:p>
    <w:p>
      <w:pPr>
        <w:pStyle w:val="Heading2"/>
      </w:pPr>
      <w:r>
        <w:t>6.1 Splitting strategy</w:t>
      </w:r>
    </w:p>
    <w:p>
      <w:r>
        <w:t>If each customer has one independent snapshot, begin with a stratified split such as 70% training, 15% validation, and 15% test, subject to dataset size. Stratification helps preserve the churn proportion in each subset. If multiple records belong to the same customer, keep all records for that customer within a single split to prevent identity leakage. Because customer behaviour changes over time, a chronological split is preferable when the intended use is to predict future churn: train on earlier periods, validate on a later period, and test on the latest eligible period.</w:t>
      </w:r>
    </w:p>
    <w:p>
      <w:pPr>
        <w:pStyle w:val="Heading2"/>
      </w:pPr>
      <w:r>
        <w:t>6.2 Cross-validation</w:t>
      </w:r>
    </w:p>
    <w:p>
      <w:r>
        <w:t>Use stratified 5-fold cross-validation on the training portion for an initial independent-snapshot design. Each fold is used once for validation while the remaining folds train the model. Report the mean and variability of key metrics across folds. For time-dependent data, use a time-aware split instead of random folds. If extensive model selection is performed and the dataset is large enough, nested cross-validation can estimate the generalisation of the tuning process more robustly.</w:t>
      </w:r>
    </w:p>
    <w:p>
      <w:pPr>
        <w:pStyle w:val="Heading2"/>
      </w:pPr>
      <w:r>
        <w:t>6.3 Preventing leakage</w:t>
      </w:r>
    </w:p>
    <w:p>
      <w:pPr>
        <w:pStyle w:val="ListBullet"/>
        <w:spacing w:after="40"/>
      </w:pPr>
      <w:r>
        <w:t>Fit imputers, scalers, encoders, feature selection, and resampling separately inside each training fold.</w:t>
      </w:r>
    </w:p>
    <w:p>
      <w:pPr>
        <w:pStyle w:val="ListBullet"/>
        <w:spacing w:after="40"/>
      </w:pPr>
      <w:r>
        <w:t>Do not inspect test-set outcomes while choosing features, hyperparameters, thresholds, or models.</w:t>
      </w:r>
    </w:p>
    <w:p>
      <w:pPr>
        <w:pStyle w:val="ListBullet"/>
        <w:spacing w:after="40"/>
      </w:pPr>
      <w:r>
        <w:t>If the test set influences a decision, it is no longer an untouched test set; obtain a new holdout or use a documented nested evaluation design.</w:t>
      </w:r>
    </w:p>
    <w:p>
      <w:pPr>
        <w:pStyle w:val="ListBullet"/>
        <w:spacing w:after="40"/>
      </w:pPr>
      <w:r>
        <w:t>Fix random seeds for reproducibility where appropriate, while recognising that a single seed does not establish robustness.</w:t>
      </w:r>
    </w:p>
    <w:p>
      <w:pPr>
        <w:pStyle w:val="Heading1"/>
      </w:pPr>
      <w:r>
        <w:t>7. Model Selection and Training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8"/>
              </w:rPr>
              <w:t>Candidate model</w:t>
            </w:r>
          </w:p>
        </w:tc>
        <w:tc>
          <w:tcPr>
            <w:tcW w:type="dxa" w:w="3312"/>
            <w:vAlign w:val="center"/>
            <w:shd w:fill="17365D"/>
          </w:tcPr>
          <w:p>
            <w:pPr>
              <w:spacing w:after="40"/>
            </w:pPr>
            <w:r/>
            <w:r>
              <w:rPr>
                <w:b/>
                <w:color w:val="FFFFFF"/>
                <w:sz w:val="18"/>
              </w:rPr>
              <w:t>Advantages</w:t>
            </w:r>
          </w:p>
        </w:tc>
        <w:tc>
          <w:tcPr>
            <w:tcW w:type="dxa" w:w="3312"/>
            <w:vAlign w:val="center"/>
            <w:shd w:fill="17365D"/>
          </w:tcPr>
          <w:p>
            <w:pPr>
              <w:spacing w:after="40"/>
            </w:pPr>
            <w:r/>
            <w:r>
              <w:rPr>
                <w:b/>
                <w:color w:val="FFFFFF"/>
                <w:sz w:val="18"/>
              </w:rPr>
              <w:t>Limitations / role</w:t>
            </w:r>
          </w:p>
        </w:tc>
      </w:tr>
      <w:tr>
        <w:tc>
          <w:tcPr>
            <w:tcW w:type="dxa" w:w="3312"/>
            <w:vAlign w:val="center"/>
            <w:shd w:fill="F2F6FA"/>
          </w:tcPr>
          <w:p>
            <w:pPr>
              <w:spacing w:after="40"/>
            </w:pPr>
            <w:r/>
            <w:r>
              <w:rPr>
                <w:b w:val="0"/>
                <w:sz w:val="17"/>
              </w:rPr>
              <w:t>Dummy Classifier</w:t>
            </w:r>
          </w:p>
        </w:tc>
        <w:tc>
          <w:tcPr>
            <w:tcW w:type="dxa" w:w="3312"/>
            <w:vAlign w:val="center"/>
            <w:shd w:fill="F2F6FA"/>
          </w:tcPr>
          <w:p>
            <w:pPr>
              <w:spacing w:after="40"/>
            </w:pPr>
            <w:r/>
            <w:r>
              <w:rPr>
                <w:b w:val="0"/>
                <w:sz w:val="17"/>
              </w:rPr>
              <w:t>Simple reference point; shows how a trivial strategy performs.</w:t>
            </w:r>
          </w:p>
        </w:tc>
        <w:tc>
          <w:tcPr>
            <w:tcW w:type="dxa" w:w="3312"/>
            <w:vAlign w:val="center"/>
            <w:shd w:fill="F2F6FA"/>
          </w:tcPr>
          <w:p>
            <w:pPr>
              <w:spacing w:after="40"/>
            </w:pPr>
            <w:r/>
            <w:r>
              <w:rPr>
                <w:b w:val="0"/>
                <w:sz w:val="17"/>
              </w:rPr>
              <w:t>Not intended for production; establishes the minimum baseline.</w:t>
            </w:r>
          </w:p>
        </w:tc>
      </w:tr>
      <w:tr>
        <w:tc>
          <w:tcPr>
            <w:tcW w:type="dxa" w:w="3312"/>
            <w:vAlign w:val="center"/>
          </w:tcPr>
          <w:p>
            <w:pPr>
              <w:spacing w:after="40"/>
            </w:pPr>
            <w:r/>
            <w:r>
              <w:rPr>
                <w:b w:val="0"/>
                <w:sz w:val="17"/>
              </w:rPr>
              <w:t>Logistic Regression</w:t>
            </w:r>
          </w:p>
        </w:tc>
        <w:tc>
          <w:tcPr>
            <w:tcW w:type="dxa" w:w="3312"/>
            <w:vAlign w:val="center"/>
          </w:tcPr>
          <w:p>
            <w:pPr>
              <w:spacing w:after="40"/>
            </w:pPr>
            <w:r/>
            <w:r>
              <w:rPr>
                <w:b w:val="0"/>
                <w:sz w:val="17"/>
              </w:rPr>
              <w:t>Fast, interpretable baseline; produces probabilities; useful for understanding feature direction.</w:t>
            </w:r>
          </w:p>
        </w:tc>
        <w:tc>
          <w:tcPr>
            <w:tcW w:type="dxa" w:w="3312"/>
            <w:vAlign w:val="center"/>
          </w:tcPr>
          <w:p>
            <w:pPr>
              <w:spacing w:after="40"/>
            </w:pPr>
            <w:r/>
            <w:r>
              <w:rPr>
                <w:b w:val="0"/>
                <w:sz w:val="17"/>
              </w:rPr>
              <w:t>May miss complex nonlinear relationships; scaling and encoding are important.</w:t>
            </w:r>
          </w:p>
        </w:tc>
      </w:tr>
      <w:tr>
        <w:tc>
          <w:tcPr>
            <w:tcW w:type="dxa" w:w="3312"/>
            <w:vAlign w:val="center"/>
            <w:shd w:fill="F2F6FA"/>
          </w:tcPr>
          <w:p>
            <w:pPr>
              <w:spacing w:after="40"/>
            </w:pPr>
            <w:r/>
            <w:r>
              <w:rPr>
                <w:b w:val="0"/>
                <w:sz w:val="17"/>
              </w:rPr>
              <w:t>Decision Tree</w:t>
            </w:r>
          </w:p>
        </w:tc>
        <w:tc>
          <w:tcPr>
            <w:tcW w:type="dxa" w:w="3312"/>
            <w:vAlign w:val="center"/>
            <w:shd w:fill="F2F6FA"/>
          </w:tcPr>
          <w:p>
            <w:pPr>
              <w:spacing w:after="40"/>
            </w:pPr>
            <w:r/>
            <w:r>
              <w:rPr>
                <w:b w:val="0"/>
                <w:sz w:val="17"/>
              </w:rPr>
              <w:t>Easy to visualise; captures nonlinear relationships and interactions.</w:t>
            </w:r>
          </w:p>
        </w:tc>
        <w:tc>
          <w:tcPr>
            <w:tcW w:type="dxa" w:w="3312"/>
            <w:vAlign w:val="center"/>
            <w:shd w:fill="F2F6FA"/>
          </w:tcPr>
          <w:p>
            <w:pPr>
              <w:spacing w:after="40"/>
            </w:pPr>
            <w:r/>
            <w:r>
              <w:rPr>
                <w:b w:val="0"/>
                <w:sz w:val="17"/>
              </w:rPr>
              <w:t>Can overfit unless depth and leaf sizes are controlled.</w:t>
            </w:r>
          </w:p>
        </w:tc>
      </w:tr>
      <w:tr>
        <w:tc>
          <w:tcPr>
            <w:tcW w:type="dxa" w:w="3312"/>
            <w:vAlign w:val="center"/>
          </w:tcPr>
          <w:p>
            <w:pPr>
              <w:spacing w:after="40"/>
            </w:pPr>
            <w:r/>
            <w:r>
              <w:rPr>
                <w:b w:val="0"/>
                <w:sz w:val="17"/>
              </w:rPr>
              <w:t>Random Forest</w:t>
            </w:r>
          </w:p>
        </w:tc>
        <w:tc>
          <w:tcPr>
            <w:tcW w:type="dxa" w:w="3312"/>
            <w:vAlign w:val="center"/>
          </w:tcPr>
          <w:p>
            <w:pPr>
              <w:spacing w:after="40"/>
            </w:pPr>
            <w:r/>
            <w:r>
              <w:rPr>
                <w:b w:val="0"/>
                <w:sz w:val="17"/>
              </w:rPr>
              <w:t>Ensemble of trees; captures nonlinear patterns and interactions; usually robust to varied feature scales.</w:t>
            </w:r>
          </w:p>
        </w:tc>
        <w:tc>
          <w:tcPr>
            <w:tcW w:type="dxa" w:w="3312"/>
            <w:vAlign w:val="center"/>
          </w:tcPr>
          <w:p>
            <w:pPr>
              <w:spacing w:after="40"/>
            </w:pPr>
            <w:r/>
            <w:r>
              <w:rPr>
                <w:b w:val="0"/>
                <w:sz w:val="17"/>
              </w:rPr>
              <w:t>Less transparent than a single tree; may need calibration and careful tuning.</w:t>
            </w:r>
          </w:p>
        </w:tc>
      </w:tr>
      <w:tr>
        <w:tc>
          <w:tcPr>
            <w:tcW w:type="dxa" w:w="3312"/>
            <w:vAlign w:val="center"/>
            <w:shd w:fill="F2F6FA"/>
          </w:tcPr>
          <w:p>
            <w:pPr>
              <w:spacing w:after="40"/>
            </w:pPr>
            <w:r/>
            <w:r>
              <w:rPr>
                <w:b w:val="0"/>
                <w:sz w:val="17"/>
              </w:rPr>
              <w:t>Gradient Boosting (e.g., HistGradientBoosting or another approved library)</w:t>
            </w:r>
          </w:p>
        </w:tc>
        <w:tc>
          <w:tcPr>
            <w:tcW w:type="dxa" w:w="3312"/>
            <w:vAlign w:val="center"/>
            <w:shd w:fill="F2F6FA"/>
          </w:tcPr>
          <w:p>
            <w:pPr>
              <w:spacing w:after="40"/>
            </w:pPr>
            <w:r/>
            <w:r>
              <w:rPr>
                <w:b w:val="0"/>
                <w:sz w:val="17"/>
              </w:rPr>
              <w:t>Can offer strong predictive performance on tabular data.</w:t>
            </w:r>
          </w:p>
        </w:tc>
        <w:tc>
          <w:tcPr>
            <w:tcW w:type="dxa" w:w="3312"/>
            <w:vAlign w:val="center"/>
            <w:shd w:fill="F2F6FA"/>
          </w:tcPr>
          <w:p>
            <w:pPr>
              <w:spacing w:after="40"/>
            </w:pPr>
            <w:r/>
            <w:r>
              <w:rPr>
                <w:b w:val="0"/>
                <w:sz w:val="17"/>
              </w:rPr>
              <w:t>More tuning-sensitive and can be harder to explain; library and deployment constraints must be considered.</w:t>
            </w:r>
          </w:p>
        </w:tc>
      </w:tr>
    </w:tbl>
    <w:p>
      <w:pPr>
        <w:spacing w:after="20"/>
      </w:pPr>
    </w:p>
    <w:p>
      <w:pPr>
        <w:pStyle w:val="Heading2"/>
      </w:pPr>
      <w:r>
        <w:t>7.1 Recommended approach</w:t>
      </w:r>
    </w:p>
    <w:p>
      <w:r>
        <w:t>Begin with a Dummy Classifier, then fit Logistic Regression as an interpretable baseline. Evaluate a class-weighted Random Forest as the main candidate because customer behaviour may involve nonlinear interactions and mixed numeric/categorical features. Optionally compare a gradient-boosting model if the data size and project constraints justify it. The Random Forest is a candidate, not a predetermined winner: select the model that meets the agreed business and technical criteria on validation data.</w:t>
      </w:r>
    </w:p>
    <w:p>
      <w:pPr>
        <w:pStyle w:val="Heading2"/>
      </w:pPr>
      <w:r>
        <w:t>7.2 Training process</w:t>
      </w:r>
    </w:p>
    <w:p>
      <w:pPr>
        <w:pStyle w:val="ListNumber"/>
        <w:spacing w:after="60"/>
      </w:pPr>
      <w:r>
        <w:t>Build a reproducible preprocessing-and-model pipeline.</w:t>
      </w:r>
    </w:p>
    <w:p>
      <w:pPr>
        <w:pStyle w:val="ListNumber"/>
        <w:spacing w:after="60"/>
      </w:pPr>
      <w:r>
        <w:t>Fit the baseline and record metrics, confusion matrix, and predicted probabilities.</w:t>
      </w:r>
    </w:p>
    <w:p>
      <w:pPr>
        <w:pStyle w:val="ListNumber"/>
        <w:spacing w:after="60"/>
      </w:pPr>
      <w:r>
        <w:t>Fit each candidate using the same split strategy and evaluation protocol.</w:t>
      </w:r>
    </w:p>
    <w:p>
      <w:pPr>
        <w:pStyle w:val="ListNumber"/>
        <w:spacing w:after="60"/>
      </w:pPr>
      <w:r>
        <w:t>Use cross-validation to compare candidates and estimate metric variability.</w:t>
      </w:r>
    </w:p>
    <w:p>
      <w:pPr>
        <w:pStyle w:val="ListNumber"/>
        <w:spacing w:after="60"/>
      </w:pPr>
      <w:r>
        <w:t>Inspect false positives and false negatives with domain stakeholders to understand the practical cost of errors.</w:t>
      </w:r>
    </w:p>
    <w:p>
      <w:pPr>
        <w:pStyle w:val="ListNumber"/>
        <w:spacing w:after="60"/>
      </w:pPr>
      <w:r>
        <w:t>Choose a decision threshold on validation predictions based on the cost of missed churners, outreach capacity, and customer experience.</w:t>
      </w:r>
    </w:p>
    <w:p>
      <w:pPr>
        <w:pStyle w:val="ListNumber"/>
        <w:spacing w:after="60"/>
      </w:pPr>
      <w:r>
        <w:t>Freeze the modelling choices, refit the selected pipeline on all development data if appropriate, and evaluate once on the test set.</w:t>
      </w:r>
    </w:p>
    <w:p>
      <w:pPr>
        <w:pStyle w:val="Heading2"/>
      </w:pPr>
      <w:r>
        <w:t>7.3 Hyperparameter tuning</w:t>
      </w:r>
    </w:p>
    <w:p>
      <w:r>
        <w:t>Use RandomizedSearchCV for an efficient first search, followed by a smaller GridSearchCV around promising settings if needed. For Random Forest, tune number of trees, maximum depth, minimum samples per split, minimum samples per leaf, maximum features, and class-weight settings. For Logistic Regression, tune regularisation strength and penalty where supported. Keep the tuning budget proportionate to dataset size and computational resources. Select the primary scoring metric before searching; do not tune against the test set.</w:t>
      </w:r>
    </w:p>
    <w:p>
      <w:pPr>
        <w:pStyle w:val="Heading1"/>
      </w:pPr>
      <w:r>
        <w:t>8. Evaluation Metrics and Their Use</w:t>
      </w:r>
    </w:p>
    <w:p>
      <w:r>
        <w:t>Churn prediction is often imbalanced, so accuracy alone can be misleading. The primary metric should reflect the operational goal. For a retention team that wants to find as many likely churners as possible, recall may be the primary metric, with a minimum acceptable precision or a fixed outreach-capacity constraint.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8"/>
              </w:rPr>
              <w:t>Metric</w:t>
            </w:r>
          </w:p>
        </w:tc>
        <w:tc>
          <w:tcPr>
            <w:tcW w:type="dxa" w:w="3312"/>
            <w:vAlign w:val="center"/>
            <w:shd w:fill="17365D"/>
          </w:tcPr>
          <w:p>
            <w:pPr>
              <w:spacing w:after="40"/>
            </w:pPr>
            <w:r/>
            <w:r>
              <w:rPr>
                <w:b/>
                <w:color w:val="FFFFFF"/>
                <w:sz w:val="18"/>
              </w:rPr>
              <w:t>Definition / interpretation</w:t>
            </w:r>
          </w:p>
        </w:tc>
        <w:tc>
          <w:tcPr>
            <w:tcW w:type="dxa" w:w="3312"/>
            <w:vAlign w:val="center"/>
            <w:shd w:fill="17365D"/>
          </w:tcPr>
          <w:p>
            <w:pPr>
              <w:spacing w:after="40"/>
            </w:pPr>
            <w:r/>
            <w:r>
              <w:rPr>
                <w:b/>
                <w:color w:val="FFFFFF"/>
                <w:sz w:val="18"/>
              </w:rPr>
              <w:t>Why it matters here</w:t>
            </w:r>
          </w:p>
        </w:tc>
      </w:tr>
      <w:tr>
        <w:tc>
          <w:tcPr>
            <w:tcW w:type="dxa" w:w="3312"/>
            <w:vAlign w:val="center"/>
            <w:shd w:fill="F2F6FA"/>
          </w:tcPr>
          <w:p>
            <w:pPr>
              <w:spacing w:after="40"/>
            </w:pPr>
            <w:r/>
            <w:r>
              <w:rPr>
                <w:b w:val="0"/>
                <w:sz w:val="17"/>
              </w:rPr>
              <w:t>Accuracy</w:t>
            </w:r>
          </w:p>
        </w:tc>
        <w:tc>
          <w:tcPr>
            <w:tcW w:type="dxa" w:w="3312"/>
            <w:vAlign w:val="center"/>
            <w:shd w:fill="F2F6FA"/>
          </w:tcPr>
          <w:p>
            <w:pPr>
              <w:spacing w:after="40"/>
            </w:pPr>
            <w:r/>
            <w:r>
              <w:rPr>
                <w:b w:val="0"/>
                <w:sz w:val="17"/>
              </w:rPr>
              <w:t>(TP + TN) / all predictions</w:t>
            </w:r>
          </w:p>
        </w:tc>
        <w:tc>
          <w:tcPr>
            <w:tcW w:type="dxa" w:w="3312"/>
            <w:vAlign w:val="center"/>
            <w:shd w:fill="F2F6FA"/>
          </w:tcPr>
          <w:p>
            <w:pPr>
              <w:spacing w:after="40"/>
            </w:pPr>
            <w:r/>
            <w:r>
              <w:rPr>
                <w:b w:val="0"/>
                <w:sz w:val="17"/>
              </w:rPr>
              <w:t>Overall correctness, but can look high when churn is rare.</w:t>
            </w:r>
          </w:p>
        </w:tc>
      </w:tr>
      <w:tr>
        <w:tc>
          <w:tcPr>
            <w:tcW w:type="dxa" w:w="3312"/>
            <w:vAlign w:val="center"/>
          </w:tcPr>
          <w:p>
            <w:pPr>
              <w:spacing w:after="40"/>
            </w:pPr>
            <w:r/>
            <w:r>
              <w:rPr>
                <w:b w:val="0"/>
                <w:sz w:val="17"/>
              </w:rPr>
              <w:t>Precision</w:t>
            </w:r>
          </w:p>
        </w:tc>
        <w:tc>
          <w:tcPr>
            <w:tcW w:type="dxa" w:w="3312"/>
            <w:vAlign w:val="center"/>
          </w:tcPr>
          <w:p>
            <w:pPr>
              <w:spacing w:after="40"/>
            </w:pPr>
            <w:r/>
            <w:r>
              <w:rPr>
                <w:b w:val="0"/>
                <w:sz w:val="17"/>
              </w:rPr>
              <w:t>TP / (TP + FP)</w:t>
            </w:r>
          </w:p>
        </w:tc>
        <w:tc>
          <w:tcPr>
            <w:tcW w:type="dxa" w:w="3312"/>
            <w:vAlign w:val="center"/>
          </w:tcPr>
          <w:p>
            <w:pPr>
              <w:spacing w:after="40"/>
            </w:pPr>
            <w:r/>
            <w:r>
              <w:rPr>
                <w:b w:val="0"/>
                <w:sz w:val="17"/>
              </w:rPr>
              <w:t>Of customers flagged as at risk, how many actually churn? Helps control wasted outreach.</w:t>
            </w:r>
          </w:p>
        </w:tc>
      </w:tr>
      <w:tr>
        <w:tc>
          <w:tcPr>
            <w:tcW w:type="dxa" w:w="3312"/>
            <w:vAlign w:val="center"/>
            <w:shd w:fill="F2F6FA"/>
          </w:tcPr>
          <w:p>
            <w:pPr>
              <w:spacing w:after="40"/>
            </w:pPr>
            <w:r/>
            <w:r>
              <w:rPr>
                <w:b w:val="0"/>
                <w:sz w:val="17"/>
              </w:rPr>
              <w:t>Recall (sensitivity)</w:t>
            </w:r>
          </w:p>
        </w:tc>
        <w:tc>
          <w:tcPr>
            <w:tcW w:type="dxa" w:w="3312"/>
            <w:vAlign w:val="center"/>
            <w:shd w:fill="F2F6FA"/>
          </w:tcPr>
          <w:p>
            <w:pPr>
              <w:spacing w:after="40"/>
            </w:pPr>
            <w:r/>
            <w:r>
              <w:rPr>
                <w:b w:val="0"/>
                <w:sz w:val="17"/>
              </w:rPr>
              <w:t>TP / (TP + FN)</w:t>
            </w:r>
          </w:p>
        </w:tc>
        <w:tc>
          <w:tcPr>
            <w:tcW w:type="dxa" w:w="3312"/>
            <w:vAlign w:val="center"/>
            <w:shd w:fill="F2F6FA"/>
          </w:tcPr>
          <w:p>
            <w:pPr>
              <w:spacing w:after="40"/>
            </w:pPr>
            <w:r/>
            <w:r>
              <w:rPr>
                <w:b w:val="0"/>
                <w:sz w:val="17"/>
              </w:rPr>
              <w:t>Of all customers who churn, how many did the model identify? Important when missed churners are costly.</w:t>
            </w:r>
          </w:p>
        </w:tc>
      </w:tr>
      <w:tr>
        <w:tc>
          <w:tcPr>
            <w:tcW w:type="dxa" w:w="3312"/>
            <w:vAlign w:val="center"/>
          </w:tcPr>
          <w:p>
            <w:pPr>
              <w:spacing w:after="40"/>
            </w:pPr>
            <w:r/>
            <w:r>
              <w:rPr>
                <w:b w:val="0"/>
                <w:sz w:val="17"/>
              </w:rPr>
              <w:t>F1-score</w:t>
            </w:r>
          </w:p>
        </w:tc>
        <w:tc>
          <w:tcPr>
            <w:tcW w:type="dxa" w:w="3312"/>
            <w:vAlign w:val="center"/>
          </w:tcPr>
          <w:p>
            <w:pPr>
              <w:spacing w:after="40"/>
            </w:pPr>
            <w:r/>
            <w:r>
              <w:rPr>
                <w:b w:val="0"/>
                <w:sz w:val="17"/>
              </w:rPr>
              <w:t>Harmonic mean of precision and recall</w:t>
            </w:r>
          </w:p>
        </w:tc>
        <w:tc>
          <w:tcPr>
            <w:tcW w:type="dxa" w:w="3312"/>
            <w:vAlign w:val="center"/>
          </w:tcPr>
          <w:p>
            <w:pPr>
              <w:spacing w:after="40"/>
            </w:pPr>
            <w:r/>
            <w:r>
              <w:rPr>
                <w:b w:val="0"/>
                <w:sz w:val="17"/>
              </w:rPr>
              <w:t>Balances precision and recall when both matter.</w:t>
            </w:r>
          </w:p>
        </w:tc>
      </w:tr>
      <w:tr>
        <w:tc>
          <w:tcPr>
            <w:tcW w:type="dxa" w:w="3312"/>
            <w:vAlign w:val="center"/>
            <w:shd w:fill="F2F6FA"/>
          </w:tcPr>
          <w:p>
            <w:pPr>
              <w:spacing w:after="40"/>
            </w:pPr>
            <w:r/>
            <w:r>
              <w:rPr>
                <w:b w:val="0"/>
                <w:sz w:val="17"/>
              </w:rPr>
              <w:t>ROC-AUC</w:t>
            </w:r>
          </w:p>
        </w:tc>
        <w:tc>
          <w:tcPr>
            <w:tcW w:type="dxa" w:w="3312"/>
            <w:vAlign w:val="center"/>
            <w:shd w:fill="F2F6FA"/>
          </w:tcPr>
          <w:p>
            <w:pPr>
              <w:spacing w:after="40"/>
            </w:pPr>
            <w:r/>
            <w:r>
              <w:rPr>
                <w:b w:val="0"/>
                <w:sz w:val="17"/>
              </w:rPr>
              <w:t>Ranking quality across classification thresholds</w:t>
            </w:r>
          </w:p>
        </w:tc>
        <w:tc>
          <w:tcPr>
            <w:tcW w:type="dxa" w:w="3312"/>
            <w:vAlign w:val="center"/>
            <w:shd w:fill="F2F6FA"/>
          </w:tcPr>
          <w:p>
            <w:pPr>
              <w:spacing w:after="40"/>
            </w:pPr>
            <w:r/>
            <w:r>
              <w:rPr>
                <w:b w:val="0"/>
                <w:sz w:val="17"/>
              </w:rPr>
              <w:t>Measures ability to rank positive cases above negative cases; does not select an operating threshold.</w:t>
            </w:r>
          </w:p>
        </w:tc>
      </w:tr>
      <w:tr>
        <w:tc>
          <w:tcPr>
            <w:tcW w:type="dxa" w:w="3312"/>
            <w:vAlign w:val="center"/>
          </w:tcPr>
          <w:p>
            <w:pPr>
              <w:spacing w:after="40"/>
            </w:pPr>
            <w:r/>
            <w:r>
              <w:rPr>
                <w:b w:val="0"/>
                <w:sz w:val="17"/>
              </w:rPr>
              <w:t>PR-AUC / average precision</w:t>
            </w:r>
          </w:p>
        </w:tc>
        <w:tc>
          <w:tcPr>
            <w:tcW w:type="dxa" w:w="3312"/>
            <w:vAlign w:val="center"/>
          </w:tcPr>
          <w:p>
            <w:pPr>
              <w:spacing w:after="40"/>
            </w:pPr>
            <w:r/>
            <w:r>
              <w:rPr>
                <w:b w:val="0"/>
                <w:sz w:val="17"/>
              </w:rPr>
              <w:t>Precision-recall trade-off across thresholds</w:t>
            </w:r>
          </w:p>
        </w:tc>
        <w:tc>
          <w:tcPr>
            <w:tcW w:type="dxa" w:w="3312"/>
            <w:vAlign w:val="center"/>
          </w:tcPr>
          <w:p>
            <w:pPr>
              <w:spacing w:after="40"/>
            </w:pPr>
            <w:r/>
            <w:r>
              <w:rPr>
                <w:b w:val="0"/>
                <w:sz w:val="17"/>
              </w:rPr>
              <w:t>Often more informative than ROC-AUC when the positive class is rare.</w:t>
            </w:r>
          </w:p>
        </w:tc>
      </w:tr>
      <w:tr>
        <w:tc>
          <w:tcPr>
            <w:tcW w:type="dxa" w:w="3312"/>
            <w:vAlign w:val="center"/>
            <w:shd w:fill="F2F6FA"/>
          </w:tcPr>
          <w:p>
            <w:pPr>
              <w:spacing w:after="40"/>
            </w:pPr>
            <w:r/>
            <w:r>
              <w:rPr>
                <w:b w:val="0"/>
                <w:sz w:val="17"/>
              </w:rPr>
              <w:t>Confusion matrix</w:t>
            </w:r>
          </w:p>
        </w:tc>
        <w:tc>
          <w:tcPr>
            <w:tcW w:type="dxa" w:w="3312"/>
            <w:vAlign w:val="center"/>
            <w:shd w:fill="F2F6FA"/>
          </w:tcPr>
          <w:p>
            <w:pPr>
              <w:spacing w:after="40"/>
            </w:pPr>
            <w:r/>
            <w:r>
              <w:rPr>
                <w:b w:val="0"/>
                <w:sz w:val="17"/>
              </w:rPr>
              <w:t>Counts of TP, FP, TN and FN at a chosen threshold</w:t>
            </w:r>
          </w:p>
        </w:tc>
        <w:tc>
          <w:tcPr>
            <w:tcW w:type="dxa" w:w="3312"/>
            <w:vAlign w:val="center"/>
            <w:shd w:fill="F2F6FA"/>
          </w:tcPr>
          <w:p>
            <w:pPr>
              <w:spacing w:after="40"/>
            </w:pPr>
            <w:r/>
            <w:r>
              <w:rPr>
                <w:b w:val="0"/>
                <w:sz w:val="17"/>
              </w:rPr>
              <w:t>Makes the types and counts of errors concrete.</w:t>
            </w:r>
          </w:p>
        </w:tc>
      </w:tr>
      <w:tr>
        <w:tc>
          <w:tcPr>
            <w:tcW w:type="dxa" w:w="3312"/>
            <w:vAlign w:val="center"/>
          </w:tcPr>
          <w:p>
            <w:pPr>
              <w:spacing w:after="40"/>
            </w:pPr>
            <w:r/>
            <w:r>
              <w:rPr>
                <w:b w:val="0"/>
                <w:sz w:val="17"/>
              </w:rPr>
              <w:t>Brier score / calibration plot</w:t>
            </w:r>
          </w:p>
        </w:tc>
        <w:tc>
          <w:tcPr>
            <w:tcW w:type="dxa" w:w="3312"/>
            <w:vAlign w:val="center"/>
          </w:tcPr>
          <w:p>
            <w:pPr>
              <w:spacing w:after="40"/>
            </w:pPr>
            <w:r/>
            <w:r>
              <w:rPr>
                <w:b w:val="0"/>
                <w:sz w:val="17"/>
              </w:rPr>
              <w:t>Agreement between predicted probabilities and observed outcomes</w:t>
            </w:r>
          </w:p>
        </w:tc>
        <w:tc>
          <w:tcPr>
            <w:tcW w:type="dxa" w:w="3312"/>
            <w:vAlign w:val="center"/>
          </w:tcPr>
          <w:p>
            <w:pPr>
              <w:spacing w:after="40"/>
            </w:pPr>
            <w:r/>
            <w:r>
              <w:rPr>
                <w:b w:val="0"/>
                <w:sz w:val="17"/>
              </w:rPr>
              <w:t>Useful when risk probabilities guide decisions or prioritisation.</w:t>
            </w:r>
          </w:p>
        </w:tc>
      </w:tr>
    </w:tbl>
    <w:p>
      <w:pPr>
        <w:spacing w:after="20"/>
      </w:pPr>
    </w:p>
    <w:p>
      <w:r>
        <w:t>For this plan, report recall, precision, F1-score, ROC-AUC, PR-AUC, confusion matrix, and probability calibration. Report accuracy for completeness but do not use it as the only selection criterion. Compare metrics with a baseline and include cross-validation variability. A model with a slightly lower AUC may still be preferable if it is better calibrated, easier to explain, or more useful at the operating threshold.</w:t>
      </w:r>
    </w:p>
    <w:p>
      <w:pPr>
        <w:pStyle w:val="Heading2"/>
      </w:pPr>
      <w:r>
        <w:t>8.1 Threshold selection</w:t>
      </w:r>
    </w:p>
    <w:p>
      <w:r>
        <w:t>A predicted probability is not automatically a final churn decision. The default threshold of 0.50 may not fit the business context. Use validation predictions to examine several thresholds and select one that satisfies the recall target, precision floor, contact budget, or expected-cost objective agreed with stakeholders. Document the chosen threshold and revisit it if churn prevalence, retention capacity, or intervention costs change.</w:t>
      </w:r>
    </w:p>
    <w:p>
      <w:pPr>
        <w:pStyle w:val="Heading2"/>
      </w:pPr>
      <w:r>
        <w:t>8.2 Error analysis and uncertainty</w:t>
      </w:r>
    </w:p>
    <w:p>
      <w:pPr>
        <w:pStyle w:val="ListBullet"/>
        <w:spacing w:after="40"/>
      </w:pPr>
      <w:r>
        <w:t>Review false negatives to identify churn patterns the model misses and whether missing information explains them.</w:t>
      </w:r>
    </w:p>
    <w:p>
      <w:pPr>
        <w:pStyle w:val="ListBullet"/>
        <w:spacing w:after="40"/>
      </w:pPr>
      <w:r>
        <w:t>Review false positives to estimate avoidable outreach and whether certain customer groups are disproportionately flagged.</w:t>
      </w:r>
    </w:p>
    <w:p>
      <w:pPr>
        <w:pStyle w:val="ListBullet"/>
        <w:spacing w:after="40"/>
      </w:pPr>
      <w:r>
        <w:t>Examine metrics by relevant time period and, where lawful and appropriate, customer segments to identify unstable performance.</w:t>
      </w:r>
    </w:p>
    <w:p>
      <w:pPr>
        <w:pStyle w:val="ListBullet"/>
        <w:spacing w:after="40"/>
      </w:pPr>
      <w:r>
        <w:t>Use confidence intervals or repeated validation where feasible; do not interpret small metric differences as meaningful without considering uncertainty.</w:t>
      </w:r>
    </w:p>
    <w:p>
      <w:pPr>
        <w:pStyle w:val="Heading1"/>
      </w:pPr>
      <w:r>
        <w:t>9. Interpretability, Fairness and Risk Management</w:t>
      </w:r>
    </w:p>
    <w:p>
      <w:pPr>
        <w:pStyle w:val="ListBullet"/>
        <w:spacing w:after="40"/>
      </w:pPr>
      <w:r>
        <w:t>Explain predictions using global feature importance and, if appropriate, local explanation methods such as SHAP; verify that explanations are stable and not misleading.</w:t>
      </w:r>
    </w:p>
    <w:p>
      <w:pPr>
        <w:pStyle w:val="ListBullet"/>
        <w:spacing w:after="40"/>
      </w:pPr>
      <w:r>
        <w:t>Do not describe feature importance as causal evidence. A feature associated with churn does not necessarily cause churn.</w:t>
      </w:r>
    </w:p>
    <w:p>
      <w:pPr>
        <w:pStyle w:val="ListBullet"/>
        <w:spacing w:after="40"/>
      </w:pPr>
      <w:r>
        <w:t>Assess whether model errors or intervention rates differ across relevant groups, where lawful, ethical, and supported by adequate data.</w:t>
      </w:r>
    </w:p>
    <w:p>
      <w:pPr>
        <w:pStyle w:val="ListBullet"/>
        <w:spacing w:after="40"/>
      </w:pPr>
      <w:r>
        <w:t>Ensure retention interventions are respectful and proportionate. Predictions should support assistance, not punitive treatment.</w:t>
      </w:r>
    </w:p>
    <w:p>
      <w:pPr>
        <w:pStyle w:val="ListBullet"/>
        <w:spacing w:after="40"/>
      </w:pPr>
      <w:r>
        <w:t>Document known limitations, intended use, excluded use cases, data lineage, model version, and approval decisions.</w:t>
      </w:r>
    </w:p>
    <w:p>
      <w:pPr>
        <w:pStyle w:val="ListBullet"/>
        <w:spacing w:after="40"/>
      </w:pPr>
      <w:r>
        <w:t>Provide a process for human review, customer feedback, and escalation when predictions appear incorrect.</w:t>
      </w:r>
    </w:p>
    <w:p>
      <w:pPr>
        <w:pStyle w:val="Heading1"/>
      </w:pPr>
      <w:r>
        <w:t>10. Conceptual Deployment Plan (Optional)</w:t>
      </w:r>
    </w:p>
    <w:p>
      <w:r>
        <w:t>After validation, deployment would begin with a limited pilot rather than immediate organisation-wide automation. The trained preprocessing-and-model pipeline would be versioned and stored with its feature schema, threshold, training data period, and evaluation report. A scheduled batch process could generate weekly churn-risk scores for authorised retention staff, or a secured API could score individual requests if low-latency predictions were required.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b/>
                <w:color w:val="FFFFFF"/>
                <w:sz w:val="18"/>
              </w:rPr>
              <w:t>Deployment component</w:t>
            </w:r>
          </w:p>
        </w:tc>
        <w:tc>
          <w:tcPr>
            <w:tcW w:type="dxa" w:w="4968"/>
            <w:vAlign w:val="center"/>
            <w:shd w:fill="17365D"/>
          </w:tcPr>
          <w:p>
            <w:pPr>
              <w:spacing w:after="40"/>
            </w:pPr>
            <w:r/>
            <w:r>
              <w:rPr>
                <w:b/>
                <w:color w:val="FFFFFF"/>
                <w:sz w:val="18"/>
              </w:rPr>
              <w:t>Plan</w:t>
            </w:r>
          </w:p>
        </w:tc>
      </w:tr>
      <w:tr>
        <w:tc>
          <w:tcPr>
            <w:tcW w:type="dxa" w:w="4968"/>
            <w:vAlign w:val="center"/>
            <w:shd w:fill="F2F6FA"/>
          </w:tcPr>
          <w:p>
            <w:pPr>
              <w:spacing w:after="40"/>
            </w:pPr>
            <w:r/>
            <w:r>
              <w:rPr>
                <w:b w:val="0"/>
                <w:sz w:val="17"/>
              </w:rPr>
              <w:t>Packaging</w:t>
            </w:r>
          </w:p>
        </w:tc>
        <w:tc>
          <w:tcPr>
            <w:tcW w:type="dxa" w:w="4968"/>
            <w:vAlign w:val="center"/>
            <w:shd w:fill="F2F6FA"/>
          </w:tcPr>
          <w:p>
            <w:pPr>
              <w:spacing w:after="40"/>
            </w:pPr>
            <w:r/>
            <w:r>
              <w:rPr>
                <w:b w:val="0"/>
                <w:sz w:val="17"/>
              </w:rPr>
              <w:t>Save the full scikit-learn pipeline, not just the estimator, using a controlled and secure model registry or artifact store.</w:t>
            </w:r>
          </w:p>
        </w:tc>
      </w:tr>
      <w:tr>
        <w:tc>
          <w:tcPr>
            <w:tcW w:type="dxa" w:w="4968"/>
            <w:vAlign w:val="center"/>
          </w:tcPr>
          <w:p>
            <w:pPr>
              <w:spacing w:after="40"/>
            </w:pPr>
            <w:r/>
            <w:r>
              <w:rPr>
                <w:b w:val="0"/>
                <w:sz w:val="17"/>
              </w:rPr>
              <w:t>Input validation</w:t>
            </w:r>
          </w:p>
        </w:tc>
        <w:tc>
          <w:tcPr>
            <w:tcW w:type="dxa" w:w="4968"/>
            <w:vAlign w:val="center"/>
          </w:tcPr>
          <w:p>
            <w:pPr>
              <w:spacing w:after="40"/>
            </w:pPr>
            <w:r/>
            <w:r>
              <w:rPr>
                <w:b w:val="0"/>
                <w:sz w:val="17"/>
              </w:rPr>
              <w:t>Check required columns, data types, allowed ranges, missingness, and schema version before scoring.</w:t>
            </w:r>
          </w:p>
        </w:tc>
      </w:tr>
      <w:tr>
        <w:tc>
          <w:tcPr>
            <w:tcW w:type="dxa" w:w="4968"/>
            <w:vAlign w:val="center"/>
            <w:shd w:fill="F2F6FA"/>
          </w:tcPr>
          <w:p>
            <w:pPr>
              <w:spacing w:after="40"/>
            </w:pPr>
            <w:r/>
            <w:r>
              <w:rPr>
                <w:b w:val="0"/>
                <w:sz w:val="17"/>
              </w:rPr>
              <w:t>Serving</w:t>
            </w:r>
          </w:p>
        </w:tc>
        <w:tc>
          <w:tcPr>
            <w:tcW w:type="dxa" w:w="4968"/>
            <w:vAlign w:val="center"/>
            <w:shd w:fill="F2F6FA"/>
          </w:tcPr>
          <w:p>
            <w:pPr>
              <w:spacing w:after="40"/>
            </w:pPr>
            <w:r/>
            <w:r>
              <w:rPr>
                <w:b w:val="0"/>
                <w:sz w:val="17"/>
              </w:rPr>
              <w:t>Start with batch scoring; use a secured API only if real-time scoring is justified.</w:t>
            </w:r>
          </w:p>
        </w:tc>
      </w:tr>
      <w:tr>
        <w:tc>
          <w:tcPr>
            <w:tcW w:type="dxa" w:w="4968"/>
            <w:vAlign w:val="center"/>
          </w:tcPr>
          <w:p>
            <w:pPr>
              <w:spacing w:after="40"/>
            </w:pPr>
            <w:r/>
            <w:r>
              <w:rPr>
                <w:b w:val="0"/>
                <w:sz w:val="17"/>
              </w:rPr>
              <w:t>Access and security</w:t>
            </w:r>
          </w:p>
        </w:tc>
        <w:tc>
          <w:tcPr>
            <w:tcW w:type="dxa" w:w="4968"/>
            <w:vAlign w:val="center"/>
          </w:tcPr>
          <w:p>
            <w:pPr>
              <w:spacing w:after="40"/>
            </w:pPr>
            <w:r/>
            <w:r>
              <w:rPr>
                <w:b w:val="0"/>
                <w:sz w:val="17"/>
              </w:rPr>
              <w:t>Apply role-based access, encryption, logging, secret management, and data minimisation.</w:t>
            </w:r>
          </w:p>
        </w:tc>
      </w:tr>
      <w:tr>
        <w:tc>
          <w:tcPr>
            <w:tcW w:type="dxa" w:w="4968"/>
            <w:vAlign w:val="center"/>
            <w:shd w:fill="F2F6FA"/>
          </w:tcPr>
          <w:p>
            <w:pPr>
              <w:spacing w:after="40"/>
            </w:pPr>
            <w:r/>
            <w:r>
              <w:rPr>
                <w:b w:val="0"/>
                <w:sz w:val="17"/>
              </w:rPr>
              <w:t>Human workflow</w:t>
            </w:r>
          </w:p>
        </w:tc>
        <w:tc>
          <w:tcPr>
            <w:tcW w:type="dxa" w:w="4968"/>
            <w:vAlign w:val="center"/>
            <w:shd w:fill="F2F6FA"/>
          </w:tcPr>
          <w:p>
            <w:pPr>
              <w:spacing w:after="40"/>
            </w:pPr>
            <w:r/>
            <w:r>
              <w:rPr>
                <w:b w:val="0"/>
                <w:sz w:val="17"/>
              </w:rPr>
              <w:t>Provide risk bands and relevant explanations to trained staff; retain human judgement over customer outreach.</w:t>
            </w:r>
          </w:p>
        </w:tc>
      </w:tr>
      <w:tr>
        <w:tc>
          <w:tcPr>
            <w:tcW w:type="dxa" w:w="4968"/>
            <w:vAlign w:val="center"/>
          </w:tcPr>
          <w:p>
            <w:pPr>
              <w:spacing w:after="40"/>
            </w:pPr>
            <w:r/>
            <w:r>
              <w:rPr>
                <w:b w:val="0"/>
                <w:sz w:val="17"/>
              </w:rPr>
              <w:t>Pilot evaluation</w:t>
            </w:r>
          </w:p>
        </w:tc>
        <w:tc>
          <w:tcPr>
            <w:tcW w:type="dxa" w:w="4968"/>
            <w:vAlign w:val="center"/>
          </w:tcPr>
          <w:p>
            <w:pPr>
              <w:spacing w:after="40"/>
            </w:pPr>
            <w:r/>
            <w:r>
              <w:rPr>
                <w:b w:val="0"/>
                <w:sz w:val="17"/>
              </w:rPr>
              <w:t>Compare outcomes with a suitable control or existing process; account for the fact that retention actions themselves can change observed churn.</w:t>
            </w:r>
          </w:p>
        </w:tc>
      </w:tr>
      <w:tr>
        <w:tc>
          <w:tcPr>
            <w:tcW w:type="dxa" w:w="4968"/>
            <w:vAlign w:val="center"/>
            <w:shd w:fill="F2F6FA"/>
          </w:tcPr>
          <w:p>
            <w:pPr>
              <w:spacing w:after="40"/>
            </w:pPr>
            <w:r/>
            <w:r>
              <w:rPr>
                <w:b w:val="0"/>
                <w:sz w:val="17"/>
              </w:rPr>
              <w:t>Rollback</w:t>
            </w:r>
          </w:p>
        </w:tc>
        <w:tc>
          <w:tcPr>
            <w:tcW w:type="dxa" w:w="4968"/>
            <w:vAlign w:val="center"/>
            <w:shd w:fill="F2F6FA"/>
          </w:tcPr>
          <w:p>
            <w:pPr>
              <w:spacing w:after="40"/>
            </w:pPr>
            <w:r/>
            <w:r>
              <w:rPr>
                <w:b w:val="0"/>
                <w:sz w:val="17"/>
              </w:rPr>
              <w:t>Maintain a previous approved model and a clear procedure to disable the new version if quality or safety checks fail.</w:t>
            </w:r>
          </w:p>
        </w:tc>
      </w:tr>
    </w:tbl>
    <w:p>
      <w:pPr>
        <w:spacing w:after="20"/>
      </w:pPr>
    </w:p>
    <w:p>
      <w:pPr>
        <w:pStyle w:val="Heading2"/>
      </w:pPr>
      <w:r>
        <w:t>10.1 Monitoring and maintenance</w:t>
      </w:r>
    </w:p>
    <w:p>
      <w:pPr>
        <w:pStyle w:val="ListBullet"/>
        <w:spacing w:after="40"/>
      </w:pPr>
      <w:r>
        <w:t>Monitor input-data quality, missingness, unseen categories, score distributions, prediction volume, latency, and system failures.</w:t>
      </w:r>
    </w:p>
    <w:p>
      <w:pPr>
        <w:pStyle w:val="ListBullet"/>
        <w:spacing w:after="40"/>
      </w:pPr>
      <w:r>
        <w:t>Once outcomes mature, track recall, precision, PR-AUC, calibration, and business outcomes on recent labelled data.</w:t>
      </w:r>
    </w:p>
    <w:p>
      <w:pPr>
        <w:pStyle w:val="ListBullet"/>
        <w:spacing w:after="40"/>
      </w:pPr>
      <w:r>
        <w:t>Monitor data drift and concept drift; drift is a signal to investigate, not automatic proof that the model has failed.</w:t>
      </w:r>
    </w:p>
    <w:p>
      <w:pPr>
        <w:pStyle w:val="ListBullet"/>
        <w:spacing w:after="40"/>
      </w:pPr>
      <w:r>
        <w:t>Retrain only when justified by enough new labelled data, a documented evaluation, and approval. Repeat the same validation and release checks.</w:t>
      </w:r>
    </w:p>
    <w:p>
      <w:pPr>
        <w:pStyle w:val="ListBullet"/>
        <w:spacing w:after="40"/>
      </w:pPr>
      <w:r>
        <w:t>Keep versioned records of training data periods, code, dependencies, parameters, metrics, thresholds, and deployment changes.</w:t>
      </w:r>
    </w:p>
    <w:p>
      <w:pPr>
        <w:pStyle w:val="Heading1"/>
      </w:pPr>
      <w:r>
        <w:t>11. Proposed Project Timeline (30–35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8"/>
              </w:rPr>
              <w:t>Workstream</w:t>
            </w:r>
          </w:p>
        </w:tc>
        <w:tc>
          <w:tcPr>
            <w:tcW w:type="dxa" w:w="3312"/>
            <w:vAlign w:val="center"/>
            <w:shd w:fill="17365D"/>
          </w:tcPr>
          <w:p>
            <w:pPr>
              <w:spacing w:after="40"/>
            </w:pPr>
            <w:r/>
            <w:r>
              <w:rPr>
                <w:b/>
                <w:color w:val="FFFFFF"/>
                <w:sz w:val="18"/>
              </w:rPr>
              <w:t>Estimated hours</w:t>
            </w:r>
          </w:p>
        </w:tc>
        <w:tc>
          <w:tcPr>
            <w:tcW w:type="dxa" w:w="3312"/>
            <w:vAlign w:val="center"/>
            <w:shd w:fill="17365D"/>
          </w:tcPr>
          <w:p>
            <w:pPr>
              <w:spacing w:after="40"/>
            </w:pPr>
            <w:r/>
            <w:r>
              <w:rPr>
                <w:b/>
                <w:color w:val="FFFFFF"/>
                <w:sz w:val="18"/>
              </w:rPr>
              <w:t>Main output</w:t>
            </w:r>
          </w:p>
        </w:tc>
      </w:tr>
      <w:tr>
        <w:tc>
          <w:tcPr>
            <w:tcW w:type="dxa" w:w="3312"/>
            <w:vAlign w:val="center"/>
            <w:shd w:fill="F2F6FA"/>
          </w:tcPr>
          <w:p>
            <w:pPr>
              <w:spacing w:after="40"/>
            </w:pPr>
            <w:r/>
            <w:r>
              <w:rPr>
                <w:b w:val="0"/>
                <w:sz w:val="17"/>
              </w:rPr>
              <w:t>Problem definition and stakeholder criteria</w:t>
            </w:r>
          </w:p>
        </w:tc>
        <w:tc>
          <w:tcPr>
            <w:tcW w:type="dxa" w:w="3312"/>
            <w:vAlign w:val="center"/>
            <w:shd w:fill="F2F6FA"/>
          </w:tcPr>
          <w:p>
            <w:pPr>
              <w:spacing w:after="40"/>
            </w:pPr>
            <w:r/>
            <w:r>
              <w:rPr>
                <w:b w:val="0"/>
                <w:sz w:val="17"/>
              </w:rPr>
              <w:t>3</w:t>
            </w:r>
          </w:p>
        </w:tc>
        <w:tc>
          <w:tcPr>
            <w:tcW w:type="dxa" w:w="3312"/>
            <w:vAlign w:val="center"/>
            <w:shd w:fill="F2F6FA"/>
          </w:tcPr>
          <w:p>
            <w:pPr>
              <w:spacing w:after="40"/>
            </w:pPr>
            <w:r/>
            <w:r>
              <w:rPr>
                <w:b w:val="0"/>
                <w:sz w:val="17"/>
              </w:rPr>
              <w:t>Target definition, scope, success criteria</w:t>
            </w:r>
          </w:p>
        </w:tc>
      </w:tr>
      <w:tr>
        <w:tc>
          <w:tcPr>
            <w:tcW w:type="dxa" w:w="3312"/>
            <w:vAlign w:val="center"/>
          </w:tcPr>
          <w:p>
            <w:pPr>
              <w:spacing w:after="40"/>
            </w:pPr>
            <w:r/>
            <w:r>
              <w:rPr>
                <w:b w:val="0"/>
                <w:sz w:val="17"/>
              </w:rPr>
              <w:t>Data understanding and quality audit plan</w:t>
            </w:r>
          </w:p>
        </w:tc>
        <w:tc>
          <w:tcPr>
            <w:tcW w:type="dxa" w:w="3312"/>
            <w:vAlign w:val="center"/>
          </w:tcPr>
          <w:p>
            <w:pPr>
              <w:spacing w:after="40"/>
            </w:pPr>
            <w:r/>
            <w:r>
              <w:rPr>
                <w:b w:val="0"/>
                <w:sz w:val="17"/>
              </w:rPr>
              <w:t>4</w:t>
            </w:r>
          </w:p>
        </w:tc>
        <w:tc>
          <w:tcPr>
            <w:tcW w:type="dxa" w:w="3312"/>
            <w:vAlign w:val="center"/>
          </w:tcPr>
          <w:p>
            <w:pPr>
              <w:spacing w:after="40"/>
            </w:pPr>
            <w:r/>
            <w:r>
              <w:rPr>
                <w:b w:val="0"/>
                <w:sz w:val="17"/>
              </w:rPr>
              <w:t>Data dictionary, quality checklist, EDA plan</w:t>
            </w:r>
          </w:p>
        </w:tc>
      </w:tr>
      <w:tr>
        <w:tc>
          <w:tcPr>
            <w:tcW w:type="dxa" w:w="3312"/>
            <w:vAlign w:val="center"/>
            <w:shd w:fill="F2F6FA"/>
          </w:tcPr>
          <w:p>
            <w:pPr>
              <w:spacing w:after="40"/>
            </w:pPr>
            <w:r/>
            <w:r>
              <w:rPr>
                <w:b w:val="0"/>
                <w:sz w:val="17"/>
              </w:rPr>
              <w:t>Preprocessing and feature engineering design</w:t>
            </w:r>
          </w:p>
        </w:tc>
        <w:tc>
          <w:tcPr>
            <w:tcW w:type="dxa" w:w="3312"/>
            <w:vAlign w:val="center"/>
            <w:shd w:fill="F2F6FA"/>
          </w:tcPr>
          <w:p>
            <w:pPr>
              <w:spacing w:after="40"/>
            </w:pPr>
            <w:r/>
            <w:r>
              <w:rPr>
                <w:b w:val="0"/>
                <w:sz w:val="17"/>
              </w:rPr>
              <w:t>5</w:t>
            </w:r>
          </w:p>
        </w:tc>
        <w:tc>
          <w:tcPr>
            <w:tcW w:type="dxa" w:w="3312"/>
            <w:vAlign w:val="center"/>
            <w:shd w:fill="F2F6FA"/>
          </w:tcPr>
          <w:p>
            <w:pPr>
              <w:spacing w:after="40"/>
            </w:pPr>
            <w:r/>
            <w:r>
              <w:rPr>
                <w:b w:val="0"/>
                <w:sz w:val="17"/>
              </w:rPr>
              <w:t>Transformation plan and leakage controls</w:t>
            </w:r>
          </w:p>
        </w:tc>
      </w:tr>
      <w:tr>
        <w:tc>
          <w:tcPr>
            <w:tcW w:type="dxa" w:w="3312"/>
            <w:vAlign w:val="center"/>
          </w:tcPr>
          <w:p>
            <w:pPr>
              <w:spacing w:after="40"/>
            </w:pPr>
            <w:r/>
            <w:r>
              <w:rPr>
                <w:b w:val="0"/>
                <w:sz w:val="17"/>
              </w:rPr>
              <w:t>Candidate models and training design</w:t>
            </w:r>
          </w:p>
        </w:tc>
        <w:tc>
          <w:tcPr>
            <w:tcW w:type="dxa" w:w="3312"/>
            <w:vAlign w:val="center"/>
          </w:tcPr>
          <w:p>
            <w:pPr>
              <w:spacing w:after="40"/>
            </w:pPr>
            <w:r/>
            <w:r>
              <w:rPr>
                <w:b w:val="0"/>
                <w:sz w:val="17"/>
              </w:rPr>
              <w:t>5</w:t>
            </w:r>
          </w:p>
        </w:tc>
        <w:tc>
          <w:tcPr>
            <w:tcW w:type="dxa" w:w="3312"/>
            <w:vAlign w:val="center"/>
          </w:tcPr>
          <w:p>
            <w:pPr>
              <w:spacing w:after="40"/>
            </w:pPr>
            <w:r/>
            <w:r>
              <w:rPr>
                <w:b w:val="0"/>
                <w:sz w:val="17"/>
              </w:rPr>
              <w:t>Baseline and candidate model comparison plan</w:t>
            </w:r>
          </w:p>
        </w:tc>
      </w:tr>
      <w:tr>
        <w:tc>
          <w:tcPr>
            <w:tcW w:type="dxa" w:w="3312"/>
            <w:vAlign w:val="center"/>
            <w:shd w:fill="F2F6FA"/>
          </w:tcPr>
          <w:p>
            <w:pPr>
              <w:spacing w:after="40"/>
            </w:pPr>
            <w:r/>
            <w:r>
              <w:rPr>
                <w:b w:val="0"/>
                <w:sz w:val="17"/>
              </w:rPr>
              <w:t>Validation, metrics and threshold strategy</w:t>
            </w:r>
          </w:p>
        </w:tc>
        <w:tc>
          <w:tcPr>
            <w:tcW w:type="dxa" w:w="3312"/>
            <w:vAlign w:val="center"/>
            <w:shd w:fill="F2F6FA"/>
          </w:tcPr>
          <w:p>
            <w:pPr>
              <w:spacing w:after="40"/>
            </w:pPr>
            <w:r/>
            <w:r>
              <w:rPr>
                <w:b w:val="0"/>
                <w:sz w:val="17"/>
              </w:rPr>
              <w:t>5</w:t>
            </w:r>
          </w:p>
        </w:tc>
        <w:tc>
          <w:tcPr>
            <w:tcW w:type="dxa" w:w="3312"/>
            <w:vAlign w:val="center"/>
            <w:shd w:fill="F2F6FA"/>
          </w:tcPr>
          <w:p>
            <w:pPr>
              <w:spacing w:after="40"/>
            </w:pPr>
            <w:r/>
            <w:r>
              <w:rPr>
                <w:b w:val="0"/>
                <w:sz w:val="17"/>
              </w:rPr>
              <w:t>Split design, CV protocol, evaluation framework</w:t>
            </w:r>
          </w:p>
        </w:tc>
      </w:tr>
      <w:tr>
        <w:tc>
          <w:tcPr>
            <w:tcW w:type="dxa" w:w="3312"/>
            <w:vAlign w:val="center"/>
          </w:tcPr>
          <w:p>
            <w:pPr>
              <w:spacing w:after="40"/>
            </w:pPr>
            <w:r/>
            <w:r>
              <w:rPr>
                <w:b w:val="0"/>
                <w:sz w:val="17"/>
              </w:rPr>
              <w:t>Risks, interpretability and deployment plan</w:t>
            </w:r>
          </w:p>
        </w:tc>
        <w:tc>
          <w:tcPr>
            <w:tcW w:type="dxa" w:w="3312"/>
            <w:vAlign w:val="center"/>
          </w:tcPr>
          <w:p>
            <w:pPr>
              <w:spacing w:after="40"/>
            </w:pPr>
            <w:r/>
            <w:r>
              <w:rPr>
                <w:b w:val="0"/>
                <w:sz w:val="17"/>
              </w:rPr>
              <w:t>4</w:t>
            </w:r>
          </w:p>
        </w:tc>
        <w:tc>
          <w:tcPr>
            <w:tcW w:type="dxa" w:w="3312"/>
            <w:vAlign w:val="center"/>
          </w:tcPr>
          <w:p>
            <w:pPr>
              <w:spacing w:after="40"/>
            </w:pPr>
            <w:r/>
            <w:r>
              <w:rPr>
                <w:b w:val="0"/>
                <w:sz w:val="17"/>
              </w:rPr>
              <w:t>Governance and monitoring checklist</w:t>
            </w:r>
          </w:p>
        </w:tc>
      </w:tr>
      <w:tr>
        <w:tc>
          <w:tcPr>
            <w:tcW w:type="dxa" w:w="3312"/>
            <w:vAlign w:val="center"/>
            <w:shd w:fill="F2F6FA"/>
          </w:tcPr>
          <w:p>
            <w:pPr>
              <w:spacing w:after="40"/>
            </w:pPr>
            <w:r/>
            <w:r>
              <w:rPr>
                <w:b w:val="0"/>
                <w:sz w:val="17"/>
              </w:rPr>
              <w:t>Documentation, flowchart and review</w:t>
            </w:r>
          </w:p>
        </w:tc>
        <w:tc>
          <w:tcPr>
            <w:tcW w:type="dxa" w:w="3312"/>
            <w:vAlign w:val="center"/>
            <w:shd w:fill="F2F6FA"/>
          </w:tcPr>
          <w:p>
            <w:pPr>
              <w:spacing w:after="40"/>
            </w:pPr>
            <w:r/>
            <w:r>
              <w:rPr>
                <w:b w:val="0"/>
                <w:sz w:val="17"/>
              </w:rPr>
              <w:t>5</w:t>
            </w:r>
          </w:p>
        </w:tc>
        <w:tc>
          <w:tcPr>
            <w:tcW w:type="dxa" w:w="3312"/>
            <w:vAlign w:val="center"/>
            <w:shd w:fill="F2F6FA"/>
          </w:tcPr>
          <w:p>
            <w:pPr>
              <w:spacing w:after="40"/>
            </w:pPr>
            <w:r/>
            <w:r>
              <w:rPr>
                <w:b w:val="0"/>
                <w:sz w:val="17"/>
              </w:rPr>
              <w:t>Final report, diagram, quality review</w:t>
            </w:r>
          </w:p>
        </w:tc>
      </w:tr>
      <w:tr>
        <w:tc>
          <w:tcPr>
            <w:tcW w:type="dxa" w:w="3312"/>
            <w:vAlign w:val="center"/>
          </w:tcPr>
          <w:p>
            <w:pPr>
              <w:spacing w:after="40"/>
            </w:pPr>
            <w:r/>
            <w:r>
              <w:rPr>
                <w:b w:val="0"/>
                <w:sz w:val="17"/>
              </w:rPr>
              <w:t>Total</w:t>
            </w:r>
          </w:p>
        </w:tc>
        <w:tc>
          <w:tcPr>
            <w:tcW w:type="dxa" w:w="3312"/>
            <w:vAlign w:val="center"/>
          </w:tcPr>
          <w:p>
            <w:pPr>
              <w:spacing w:after="40"/>
            </w:pPr>
            <w:r/>
            <w:r>
              <w:rPr>
                <w:b w:val="0"/>
                <w:sz w:val="17"/>
              </w:rPr>
              <w:t>31</w:t>
            </w:r>
          </w:p>
        </w:tc>
        <w:tc>
          <w:tcPr>
            <w:tcW w:type="dxa" w:w="3312"/>
            <w:vAlign w:val="center"/>
          </w:tcPr>
          <w:p>
            <w:pPr>
              <w:spacing w:after="40"/>
            </w:pPr>
            <w:r/>
            <w:r>
              <w:rPr>
                <w:b w:val="0"/>
                <w:sz w:val="17"/>
              </w:rPr>
              <w:t>Planning deliverable</w:t>
            </w:r>
          </w:p>
        </w:tc>
      </w:tr>
    </w:tbl>
    <w:p>
      <w:pPr>
        <w:spacing w:after="20"/>
      </w:pPr>
    </w:p>
    <w:p>
      <w:r>
        <w:t>The hours are a planning estimate for developing the strategy and documentation, not a claim that the model has been implemented or trained. Actual implementation would require additional time depending on data access, data quality, review requirements, and deployment complexity.</w:t>
      </w:r>
    </w:p>
    <w:p>
      <w:pPr>
        <w:pStyle w:val="Heading1"/>
      </w:pPr>
      <w:r>
        <w:t>12. Expected Deliverables and Acceptance Checklist</w:t>
      </w:r>
    </w:p>
    <w:p>
      <w:pPr>
        <w:pStyle w:val="ListBullet"/>
        <w:spacing w:after="40"/>
      </w:pPr>
      <w:r>
        <w:t>A documented business problem, target definition, prediction horizon, and success criteria.</w:t>
      </w:r>
    </w:p>
    <w:p>
      <w:pPr>
        <w:pStyle w:val="ListBullet"/>
        <w:spacing w:after="40"/>
      </w:pPr>
      <w:r>
        <w:t>A data dictionary and data-quality / exploratory analysis plan.</w:t>
      </w:r>
    </w:p>
    <w:p>
      <w:pPr>
        <w:pStyle w:val="ListBullet"/>
        <w:spacing w:after="40"/>
      </w:pPr>
      <w:r>
        <w:t>A preprocessing and feature-engineering strategy with leakage safeguards.</w:t>
      </w:r>
    </w:p>
    <w:p>
      <w:pPr>
        <w:pStyle w:val="ListBullet"/>
        <w:spacing w:after="40"/>
      </w:pPr>
      <w:r>
        <w:t>A justified comparison of baseline, linear, tree-based, and ensemble models.</w:t>
      </w:r>
    </w:p>
    <w:p>
      <w:pPr>
        <w:pStyle w:val="ListBullet"/>
        <w:spacing w:after="40"/>
      </w:pPr>
      <w:r>
        <w:t>A training, cross-validation, hyperparameter tuning, and test-set evaluation plan.</w:t>
      </w:r>
    </w:p>
    <w:p>
      <w:pPr>
        <w:pStyle w:val="ListBullet"/>
        <w:spacing w:after="40"/>
      </w:pPr>
      <w:r>
        <w:t>A metric framework that includes precision, recall, F1, ROC-AUC, PR-AUC, confusion matrix, and calibration.</w:t>
      </w:r>
    </w:p>
    <w:p>
      <w:pPr>
        <w:pStyle w:val="ListBullet"/>
        <w:spacing w:after="40"/>
      </w:pPr>
      <w:r>
        <w:t>A workflow diagram and documented risks, fairness, privacy, and interpretability considerations.</w:t>
      </w:r>
    </w:p>
    <w:p>
      <w:pPr>
        <w:pStyle w:val="ListBullet"/>
        <w:spacing w:after="40"/>
      </w:pPr>
      <w:r>
        <w:t>A conceptual deployment, monitoring, retraining, and rollback plan.</w:t>
      </w:r>
    </w:p>
    <w:p>
      <w:pPr>
        <w:pStyle w:val="ListBullet"/>
        <w:spacing w:after="40"/>
      </w:pPr>
      <w:r>
        <w:t>Clear separation between planned work and results that would only be available after implementation.</w:t>
      </w:r>
    </w:p>
    <w:p>
      <w:pPr>
        <w:pStyle w:val="Heading1"/>
      </w:pPr>
      <w:r>
        <w:t>13. Conclusion</w:t>
      </w:r>
    </w:p>
    <w:p>
      <w:r>
        <w:t>This plan provides a structured route from a business question to a carefully evaluated machine learning system. The most important principles are to define the target clearly, prevent leakage, compare against a meaningful baseline, validate using a split strategy that reflects real-world use, and choose metrics based on the costs of different errors. Deployment should follow only after technical, operational, privacy, and fairness checks. Continuous monitoring and controlled updates are necessary because customer behaviour and data systems can change over time.</w:t>
      </w:r>
    </w:p>
    <w:p>
      <w:pPr>
        <w:pStyle w:val="Heading1"/>
      </w:pPr>
      <w:r>
        <w:t>Appendix A: Illustrative Model Decision Logic</w:t>
      </w:r>
    </w:p>
    <w:p>
      <w:r>
        <w:t>1. Does the candidate outperform the Dummy Classifier under the same validation design? If not, revisit data quality, target definition, and feature usefulness.</w:t>
        <w:br/>
        <w:t>2. Does it meet the agreed recall / precision or cost constraint at a feasible threshold? If not, compare candidates or reconsider the intervention workflow.</w:t>
        <w:br/>
        <w:t>3. Are results stable across folds and relevant time periods? If not, investigate drift, sampling, and segment-level weaknesses.</w:t>
        <w:br/>
        <w:t>4. Are probability estimates sufficiently calibrated and explanations acceptable for the intended use? If not, calibrate, simplify, or choose another model.</w:t>
        <w:br/>
        <w:t>5. Does the untouched test set confirm acceptable performance? If yes, proceed to a monitored pilot; otherwise, return to development and obtain a fresh test set for a later final evaluation.</w:t>
      </w:r>
    </w:p>
    <w:p>
      <w:pPr>
        <w:pStyle w:val="Heading1"/>
      </w:pPr>
      <w:r>
        <w:t>Appendix B: Suggested Python Libraries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b/>
                <w:color w:val="FFFFFF"/>
                <w:sz w:val="18"/>
              </w:rPr>
              <w:t>Library</w:t>
            </w:r>
          </w:p>
        </w:tc>
        <w:tc>
          <w:tcPr>
            <w:tcW w:type="dxa" w:w="4968"/>
            <w:vAlign w:val="center"/>
            <w:shd w:fill="17365D"/>
          </w:tcPr>
          <w:p>
            <w:pPr>
              <w:spacing w:after="40"/>
            </w:pPr>
            <w:r/>
            <w:r>
              <w:rPr>
                <w:b/>
                <w:color w:val="FFFFFF"/>
                <w:sz w:val="18"/>
              </w:rPr>
              <w:t>Planned purpose</w:t>
            </w:r>
          </w:p>
        </w:tc>
      </w:tr>
      <w:tr>
        <w:tc>
          <w:tcPr>
            <w:tcW w:type="dxa" w:w="4968"/>
            <w:vAlign w:val="center"/>
            <w:shd w:fill="F2F6FA"/>
          </w:tcPr>
          <w:p>
            <w:pPr>
              <w:spacing w:after="40"/>
            </w:pPr>
            <w:r/>
            <w:r>
              <w:rPr>
                <w:b w:val="0"/>
                <w:sz w:val="17"/>
              </w:rPr>
              <w:t>pandas / NumPy</w:t>
            </w:r>
          </w:p>
        </w:tc>
        <w:tc>
          <w:tcPr>
            <w:tcW w:type="dxa" w:w="4968"/>
            <w:vAlign w:val="center"/>
            <w:shd w:fill="F2F6FA"/>
          </w:tcPr>
          <w:p>
            <w:pPr>
              <w:spacing w:after="40"/>
            </w:pPr>
            <w:r/>
            <w:r>
              <w:rPr>
                <w:b w:val="0"/>
                <w:sz w:val="17"/>
              </w:rPr>
              <w:t>Tabular data handling, aggregation, and numerical operations</w:t>
            </w:r>
          </w:p>
        </w:tc>
      </w:tr>
      <w:tr>
        <w:tc>
          <w:tcPr>
            <w:tcW w:type="dxa" w:w="4968"/>
            <w:vAlign w:val="center"/>
          </w:tcPr>
          <w:p>
            <w:pPr>
              <w:spacing w:after="40"/>
            </w:pPr>
            <w:r/>
            <w:r>
              <w:rPr>
                <w:b w:val="0"/>
                <w:sz w:val="17"/>
              </w:rPr>
              <w:t>Matplotlib / Seaborn</w:t>
            </w:r>
          </w:p>
        </w:tc>
        <w:tc>
          <w:tcPr>
            <w:tcW w:type="dxa" w:w="4968"/>
            <w:vAlign w:val="center"/>
          </w:tcPr>
          <w:p>
            <w:pPr>
              <w:spacing w:after="40"/>
            </w:pPr>
            <w:r/>
            <w:r>
              <w:rPr>
                <w:b w:val="0"/>
                <w:sz w:val="17"/>
              </w:rPr>
              <w:t>Exploratory plots, confusion matrix, ROC and precision-recall curves</w:t>
            </w:r>
          </w:p>
        </w:tc>
      </w:tr>
      <w:tr>
        <w:tc>
          <w:tcPr>
            <w:tcW w:type="dxa" w:w="4968"/>
            <w:vAlign w:val="center"/>
            <w:shd w:fill="F2F6FA"/>
          </w:tcPr>
          <w:p>
            <w:pPr>
              <w:spacing w:after="40"/>
            </w:pPr>
            <w:r/>
            <w:r>
              <w:rPr>
                <w:b w:val="0"/>
                <w:sz w:val="17"/>
              </w:rPr>
              <w:t>scikit-learn</w:t>
            </w:r>
          </w:p>
        </w:tc>
        <w:tc>
          <w:tcPr>
            <w:tcW w:type="dxa" w:w="4968"/>
            <w:vAlign w:val="center"/>
            <w:shd w:fill="F2F6FA"/>
          </w:tcPr>
          <w:p>
            <w:pPr>
              <w:spacing w:after="40"/>
            </w:pPr>
            <w:r/>
            <w:r>
              <w:rPr>
                <w:b w:val="0"/>
                <w:sz w:val="17"/>
              </w:rPr>
              <w:t>Pipelines, preprocessing, splitting, model training, cross-validation, tuning, and metrics</w:t>
            </w:r>
          </w:p>
        </w:tc>
      </w:tr>
      <w:tr>
        <w:tc>
          <w:tcPr>
            <w:tcW w:type="dxa" w:w="4968"/>
            <w:vAlign w:val="center"/>
          </w:tcPr>
          <w:p>
            <w:pPr>
              <w:spacing w:after="40"/>
            </w:pPr>
            <w:r/>
            <w:r>
              <w:rPr>
                <w:b w:val="0"/>
                <w:sz w:val="17"/>
              </w:rPr>
              <w:t>joblib</w:t>
            </w:r>
          </w:p>
        </w:tc>
        <w:tc>
          <w:tcPr>
            <w:tcW w:type="dxa" w:w="4968"/>
            <w:vAlign w:val="center"/>
          </w:tcPr>
          <w:p>
            <w:pPr>
              <w:spacing w:after="40"/>
            </w:pPr>
            <w:r/>
            <w:r>
              <w:rPr>
                <w:b w:val="0"/>
                <w:sz w:val="17"/>
              </w:rPr>
              <w:t>Serialization of a trusted, versioned model pipeline</w:t>
            </w:r>
          </w:p>
        </w:tc>
      </w:tr>
      <w:tr>
        <w:tc>
          <w:tcPr>
            <w:tcW w:type="dxa" w:w="4968"/>
            <w:vAlign w:val="center"/>
            <w:shd w:fill="F2F6FA"/>
          </w:tcPr>
          <w:p>
            <w:pPr>
              <w:spacing w:after="40"/>
            </w:pPr>
            <w:r/>
            <w:r>
              <w:rPr>
                <w:b w:val="0"/>
                <w:sz w:val="17"/>
              </w:rPr>
              <w:t>FastAPI or similar (optional)</w:t>
            </w:r>
          </w:p>
        </w:tc>
        <w:tc>
          <w:tcPr>
            <w:tcW w:type="dxa" w:w="4968"/>
            <w:vAlign w:val="center"/>
            <w:shd w:fill="F2F6FA"/>
          </w:tcPr>
          <w:p>
            <w:pPr>
              <w:spacing w:after="40"/>
            </w:pPr>
            <w:r/>
            <w:r>
              <w:rPr>
                <w:b w:val="0"/>
                <w:sz w:val="17"/>
              </w:rPr>
              <w:t>Secured prediction endpoint if real-time serving is needed</w:t>
            </w:r>
          </w:p>
        </w:tc>
      </w:tr>
    </w:tbl>
    <w:p>
      <w:pPr>
        <w:spacing w:after="20"/>
      </w:pPr>
    </w:p>
    <w:p>
      <w:r>
        <w:t>Note: This document is a conceptual project plan. It intentionally contains no fabricated dataset results, accuracy figures, or claims of successful model deployment.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Python-Based Machine Learning Model Development and Evaluation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3 TASK  |  MACHINE LEARNING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