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285" w:rsidRDefault="00DF4285" w:rsidP="00DF4285">
      <w:pPr>
        <w:pStyle w:val="NormalWeb"/>
      </w:pPr>
      <w:bookmarkStart w:id="0" w:name="_GoBack"/>
      <w:bookmarkEnd w:id="0"/>
      <w:r>
        <w:rPr>
          <w:b/>
          <w:bCs/>
        </w:rPr>
        <w:t>Exploratory Data Analysis (EDA):</w:t>
      </w:r>
    </w:p>
    <w:p w:rsidR="00DF4285" w:rsidRDefault="00DF4285" w:rsidP="00DF4285">
      <w:pPr>
        <w:pStyle w:val="NormalWeb"/>
        <w:numPr>
          <w:ilvl w:val="0"/>
          <w:numId w:val="2"/>
        </w:numPr>
      </w:pPr>
      <w:r>
        <w:rPr>
          <w:b/>
          <w:bCs/>
        </w:rPr>
        <w:t>Decomposition:</w:t>
      </w:r>
      <w:r>
        <w:t xml:space="preserve"> The data was broken down into its core components: a clear upward </w:t>
      </w:r>
      <w:r>
        <w:rPr>
          <w:b/>
          <w:bCs/>
        </w:rPr>
        <w:t>Trend</w:t>
      </w:r>
      <w:r>
        <w:t xml:space="preserve">, a repeating </w:t>
      </w:r>
      <w:r>
        <w:rPr>
          <w:b/>
          <w:bCs/>
        </w:rPr>
        <w:t>Weekly Seasonality</w:t>
      </w:r>
      <w:r>
        <w:t xml:space="preserve">, and </w:t>
      </w:r>
      <w:r>
        <w:rPr>
          <w:b/>
          <w:bCs/>
        </w:rPr>
        <w:t>Residuals</w:t>
      </w:r>
      <w:r>
        <w:t xml:space="preserve"> (random noise/anomalies).</w:t>
      </w:r>
    </w:p>
    <w:p w:rsidR="00DF4285" w:rsidRDefault="00DF4285" w:rsidP="00DF4285">
      <w:pPr>
        <w:pStyle w:val="NormalWeb"/>
        <w:numPr>
          <w:ilvl w:val="0"/>
          <w:numId w:val="2"/>
        </w:numPr>
      </w:pPr>
      <w:r>
        <w:rPr>
          <w:b/>
          <w:bCs/>
        </w:rPr>
        <w:t>Stationarity Check:</w:t>
      </w:r>
      <w:r>
        <w:t xml:space="preserve"> An Augmented Dickey-Fuller (ADF) test was performed. The result showed a p-value of 0.99, confirming the data was </w:t>
      </w:r>
      <w:r>
        <w:rPr>
          <w:b/>
          <w:bCs/>
        </w:rPr>
        <w:t>non-stationary</w:t>
      </w:r>
      <w:r>
        <w:t xml:space="preserve"> due to the strong upward trend.</w:t>
      </w:r>
    </w:p>
    <w:p w:rsidR="00DF4285" w:rsidRPr="00DF4285" w:rsidRDefault="00DF4285" w:rsidP="00DF4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42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Results</w:t>
      </w:r>
    </w:p>
    <w:p w:rsidR="00DF4285" w:rsidRPr="00DF4285" w:rsidRDefault="00DF4285" w:rsidP="00DF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2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successfully generated a 30-day future forecast:</w:t>
      </w:r>
    </w:p>
    <w:p w:rsidR="00DF4285" w:rsidRPr="00DF4285" w:rsidRDefault="00DF4285" w:rsidP="00DF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 Trend:</w:t>
      </w:r>
      <w:r w:rsidRPr="00DF4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analysis confirmed a consistent growth in sales from approximately ₹45,000 in January to over ₹110,000 by July.</w:t>
      </w:r>
    </w:p>
    <w:p w:rsidR="00DF4285" w:rsidRPr="00DF4285" w:rsidRDefault="00DF4285" w:rsidP="00DF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Predictions:</w:t>
      </w:r>
      <w:r w:rsidRPr="00DF4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period of August 17–21, 2024, the model predicted daily sales rising from approximately </w:t>
      </w:r>
      <w:r w:rsidRPr="00DF4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₹119,064 to ₹120,512</w:t>
      </w:r>
      <w:r w:rsidRPr="00DF42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180F" w:rsidRDefault="00DF4285"/>
    <w:sectPr w:rsidR="00901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ESRI NIMA VMAP1&amp;2 PT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85BCB"/>
    <w:multiLevelType w:val="multilevel"/>
    <w:tmpl w:val="6A9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D16F6"/>
    <w:multiLevelType w:val="multilevel"/>
    <w:tmpl w:val="FF1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285"/>
    <w:rsid w:val="00446FA6"/>
    <w:rsid w:val="00BC0D70"/>
    <w:rsid w:val="00D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E9E2"/>
  <w15:chartTrackingRefBased/>
  <w15:docId w15:val="{9C5225F2-01D6-4CE0-8D5A-BCFC7914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DF4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42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4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5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Shrimali</dc:creator>
  <cp:keywords/>
  <dc:description/>
  <cp:lastModifiedBy>Ridhima Shrimali</cp:lastModifiedBy>
  <cp:revision>1</cp:revision>
  <dcterms:created xsi:type="dcterms:W3CDTF">2026-05-08T08:08:00Z</dcterms:created>
  <dcterms:modified xsi:type="dcterms:W3CDTF">2026-05-08T08:10:00Z</dcterms:modified>
</cp:coreProperties>
</file>